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220"/>
        <w:gridCol w:w="8692"/>
      </w:tblGrid>
      <w:tr w:rsidR="75D8A2EC" w:rsidRPr="007538F8" w14:paraId="42AD60E4" w14:textId="77777777" w:rsidTr="00910FBD">
        <w:tc>
          <w:tcPr>
            <w:tcW w:w="2220" w:type="dxa"/>
            <w:vMerge w:val="restart"/>
            <w:vAlign w:val="center"/>
          </w:tcPr>
          <w:p w14:paraId="06B7769B" w14:textId="183EB9D9" w:rsidR="349E5B40" w:rsidRPr="007538F8" w:rsidRDefault="349E5B40" w:rsidP="0047460C">
            <w:pPr>
              <w:ind w:right="140" w:hanging="110"/>
              <w:rPr>
                <w:rFonts w:ascii="Open Sans" w:eastAsia="Calibri" w:hAnsi="Open Sans" w:cs="Open Sans"/>
                <w:color w:val="000000" w:themeColor="text1"/>
                <w:sz w:val="20"/>
                <w:szCs w:val="20"/>
              </w:rPr>
            </w:pPr>
            <w:r w:rsidRPr="007538F8">
              <w:rPr>
                <w:rFonts w:ascii="Open Sans" w:hAnsi="Open Sans" w:cs="Open Sans"/>
                <w:noProof/>
                <w:sz w:val="20"/>
                <w:szCs w:val="20"/>
              </w:rPr>
              <w:drawing>
                <wp:inline distT="0" distB="0" distL="0" distR="0" wp14:anchorId="49CB506E" wp14:editId="5F875E7C">
                  <wp:extent cx="1489165" cy="822960"/>
                  <wp:effectExtent l="0" t="0" r="0" b="0"/>
                  <wp:docPr id="510616935" name="Picture 510616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616935"/>
                          <pic:cNvPicPr/>
                        </pic:nvPicPr>
                        <pic:blipFill>
                          <a:blip r:embed="rId11">
                            <a:extLst>
                              <a:ext uri="{28A0092B-C50C-407E-A947-70E740481C1C}">
                                <a14:useLocalDpi xmlns:a14="http://schemas.microsoft.com/office/drawing/2010/main" val="0"/>
                              </a:ext>
                            </a:extLst>
                          </a:blip>
                          <a:stretch>
                            <a:fillRect/>
                          </a:stretch>
                        </pic:blipFill>
                        <pic:spPr>
                          <a:xfrm>
                            <a:off x="0" y="0"/>
                            <a:ext cx="1489165" cy="822960"/>
                          </a:xfrm>
                          <a:prstGeom prst="rect">
                            <a:avLst/>
                          </a:prstGeom>
                        </pic:spPr>
                      </pic:pic>
                    </a:graphicData>
                  </a:graphic>
                </wp:inline>
              </w:drawing>
            </w:r>
          </w:p>
        </w:tc>
        <w:tc>
          <w:tcPr>
            <w:tcW w:w="8692" w:type="dxa"/>
          </w:tcPr>
          <w:p w14:paraId="189B7283" w14:textId="4BD4F599" w:rsidR="349E5B40" w:rsidRPr="007538F8" w:rsidRDefault="349E5B40" w:rsidP="01DA6DB8">
            <w:pPr>
              <w:jc w:val="center"/>
              <w:rPr>
                <w:rFonts w:ascii="Open Sans" w:eastAsiaTheme="minorEastAsia" w:hAnsi="Open Sans" w:cs="Open Sans"/>
                <w:b/>
                <w:bCs/>
              </w:rPr>
            </w:pPr>
            <w:r w:rsidRPr="007538F8">
              <w:rPr>
                <w:rFonts w:ascii="Open Sans" w:eastAsiaTheme="minorEastAsia" w:hAnsi="Open Sans" w:cs="Open Sans"/>
                <w:b/>
                <w:bCs/>
              </w:rPr>
              <w:t>School of</w:t>
            </w:r>
            <w:r w:rsidR="008472D2">
              <w:rPr>
                <w:rFonts w:ascii="Open Sans" w:eastAsiaTheme="minorEastAsia" w:hAnsi="Open Sans" w:cs="Open Sans"/>
                <w:b/>
                <w:bCs/>
              </w:rPr>
              <w:t xml:space="preserve"> Science</w:t>
            </w:r>
          </w:p>
        </w:tc>
      </w:tr>
      <w:tr w:rsidR="75D8A2EC" w:rsidRPr="007538F8" w14:paraId="44A98637" w14:textId="77777777" w:rsidTr="00910FBD">
        <w:tc>
          <w:tcPr>
            <w:tcW w:w="2220" w:type="dxa"/>
            <w:vMerge/>
          </w:tcPr>
          <w:p w14:paraId="720A25DD" w14:textId="77777777" w:rsidR="00E150B0" w:rsidRPr="007538F8" w:rsidRDefault="00E150B0">
            <w:pPr>
              <w:rPr>
                <w:rFonts w:ascii="Open Sans" w:hAnsi="Open Sans" w:cs="Open Sans"/>
                <w:sz w:val="20"/>
                <w:szCs w:val="20"/>
              </w:rPr>
            </w:pPr>
          </w:p>
        </w:tc>
        <w:tc>
          <w:tcPr>
            <w:tcW w:w="8692" w:type="dxa"/>
          </w:tcPr>
          <w:p w14:paraId="3A28D27B" w14:textId="7E3E3AA8" w:rsidR="349E5B40" w:rsidRPr="007538F8" w:rsidRDefault="008472D2" w:rsidP="01DA6DB8">
            <w:pPr>
              <w:spacing w:line="259" w:lineRule="auto"/>
              <w:jc w:val="center"/>
              <w:rPr>
                <w:rFonts w:ascii="Open Sans" w:eastAsiaTheme="minorEastAsia" w:hAnsi="Open Sans" w:cs="Open Sans"/>
                <w:b/>
                <w:bCs/>
                <w:sz w:val="24"/>
                <w:szCs w:val="24"/>
              </w:rPr>
            </w:pPr>
            <w:r>
              <w:rPr>
                <w:rFonts w:ascii="Open Sans" w:eastAsiaTheme="minorEastAsia" w:hAnsi="Open Sans" w:cs="Open Sans"/>
                <w:b/>
                <w:bCs/>
                <w:sz w:val="24"/>
                <w:szCs w:val="24"/>
              </w:rPr>
              <w:t>GEOL 211</w:t>
            </w:r>
          </w:p>
          <w:p w14:paraId="103E4F00" w14:textId="08F0C3C4" w:rsidR="349E5B40" w:rsidRPr="007538F8" w:rsidRDefault="008472D2" w:rsidP="01DA6DB8">
            <w:pPr>
              <w:spacing w:line="259" w:lineRule="auto"/>
              <w:jc w:val="center"/>
              <w:rPr>
                <w:rFonts w:ascii="Open Sans" w:eastAsiaTheme="minorEastAsia" w:hAnsi="Open Sans" w:cs="Open Sans"/>
                <w:b/>
                <w:bCs/>
                <w:sz w:val="24"/>
                <w:szCs w:val="24"/>
              </w:rPr>
            </w:pPr>
            <w:r>
              <w:rPr>
                <w:rFonts w:ascii="Open Sans" w:eastAsiaTheme="minorEastAsia" w:hAnsi="Open Sans" w:cs="Open Sans"/>
                <w:b/>
                <w:bCs/>
                <w:sz w:val="24"/>
                <w:szCs w:val="24"/>
              </w:rPr>
              <w:t>Geochemistry</w:t>
            </w:r>
          </w:p>
        </w:tc>
      </w:tr>
      <w:tr w:rsidR="75D8A2EC" w:rsidRPr="007538F8" w14:paraId="31530EFD" w14:textId="77777777" w:rsidTr="00910FBD">
        <w:trPr>
          <w:trHeight w:val="705"/>
        </w:trPr>
        <w:tc>
          <w:tcPr>
            <w:tcW w:w="2220" w:type="dxa"/>
            <w:vMerge/>
          </w:tcPr>
          <w:p w14:paraId="3661AB53" w14:textId="77777777" w:rsidR="00E150B0" w:rsidRPr="007538F8" w:rsidRDefault="00E150B0">
            <w:pPr>
              <w:rPr>
                <w:rFonts w:ascii="Open Sans" w:hAnsi="Open Sans" w:cs="Open Sans"/>
                <w:sz w:val="20"/>
                <w:szCs w:val="20"/>
              </w:rPr>
            </w:pPr>
          </w:p>
        </w:tc>
        <w:tc>
          <w:tcPr>
            <w:tcW w:w="8692" w:type="dxa"/>
          </w:tcPr>
          <w:p w14:paraId="690DA2DE" w14:textId="0DFAC6D8" w:rsidR="7C51D358" w:rsidRPr="007538F8" w:rsidRDefault="008472D2" w:rsidP="01DA6DB8">
            <w:pPr>
              <w:spacing w:line="259" w:lineRule="auto"/>
              <w:jc w:val="center"/>
              <w:rPr>
                <w:rFonts w:ascii="Open Sans" w:eastAsiaTheme="minorEastAsia" w:hAnsi="Open Sans" w:cs="Open Sans"/>
                <w:b/>
                <w:bCs/>
              </w:rPr>
            </w:pPr>
            <w:r>
              <w:rPr>
                <w:rFonts w:ascii="Open Sans" w:eastAsiaTheme="minorEastAsia" w:hAnsi="Open Sans" w:cs="Open Sans"/>
                <w:b/>
                <w:bCs/>
              </w:rPr>
              <w:t>Winter 2023</w:t>
            </w:r>
          </w:p>
          <w:p w14:paraId="245C8F3F" w14:textId="665CC340" w:rsidR="7C51D358" w:rsidRPr="007538F8" w:rsidRDefault="008472D2" w:rsidP="01DA6DB8">
            <w:pPr>
              <w:spacing w:line="259" w:lineRule="auto"/>
              <w:jc w:val="center"/>
              <w:rPr>
                <w:rFonts w:ascii="Open Sans" w:eastAsiaTheme="minorEastAsia" w:hAnsi="Open Sans" w:cs="Open Sans"/>
                <w:b/>
                <w:bCs/>
              </w:rPr>
            </w:pPr>
            <w:r>
              <w:rPr>
                <w:rFonts w:ascii="Open Sans" w:eastAsiaTheme="minorEastAsia" w:hAnsi="Open Sans" w:cs="Open Sans"/>
                <w:b/>
                <w:bCs/>
              </w:rPr>
              <w:t>3 Credits</w:t>
            </w:r>
          </w:p>
        </w:tc>
      </w:tr>
      <w:tr w:rsidR="75D8A2EC" w:rsidRPr="007538F8" w14:paraId="0905E595" w14:textId="77777777" w:rsidTr="00910FBD">
        <w:tc>
          <w:tcPr>
            <w:tcW w:w="10912" w:type="dxa"/>
            <w:gridSpan w:val="2"/>
          </w:tcPr>
          <w:p w14:paraId="48A29C34" w14:textId="656086D7" w:rsidR="7C51D358" w:rsidRPr="007538F8" w:rsidRDefault="7C51D358" w:rsidP="01DA6DB8">
            <w:pPr>
              <w:spacing w:line="259" w:lineRule="auto"/>
              <w:jc w:val="center"/>
              <w:rPr>
                <w:rFonts w:ascii="Open Sans" w:eastAsiaTheme="minorEastAsia" w:hAnsi="Open Sans" w:cs="Open Sans"/>
                <w:color w:val="000000" w:themeColor="text1"/>
                <w:sz w:val="28"/>
                <w:szCs w:val="28"/>
              </w:rPr>
            </w:pPr>
            <w:r w:rsidRPr="007538F8">
              <w:rPr>
                <w:rFonts w:ascii="Open Sans" w:eastAsiaTheme="minorEastAsia" w:hAnsi="Open Sans" w:cs="Open Sans"/>
                <w:b/>
                <w:bCs/>
                <w:color w:val="000000" w:themeColor="text1"/>
                <w:sz w:val="28"/>
                <w:szCs w:val="28"/>
              </w:rPr>
              <w:t>Course Outline</w:t>
            </w:r>
          </w:p>
        </w:tc>
      </w:tr>
    </w:tbl>
    <w:p w14:paraId="193516D8" w14:textId="50F31DE9" w:rsidR="00E150B0" w:rsidRPr="008472D2" w:rsidRDefault="51BD5ADC" w:rsidP="008472D2">
      <w:pPr>
        <w:pStyle w:val="Default"/>
      </w:pPr>
      <w:r w:rsidRPr="007538F8">
        <w:rPr>
          <w:rFonts w:ascii="Open Sans" w:eastAsia="Calibri" w:hAnsi="Open Sans" w:cs="Open Sans"/>
          <w:b/>
          <w:bCs/>
          <w:color w:val="000000" w:themeColor="text1"/>
          <w:lang w:val="en-GB"/>
        </w:rPr>
        <w:t>INSTRUCTOR:</w:t>
      </w:r>
      <w:r w:rsidR="008472D2">
        <w:rPr>
          <w:rFonts w:ascii="Open Sans" w:eastAsia="Calibri" w:hAnsi="Open Sans" w:cs="Open Sans"/>
          <w:b/>
          <w:bCs/>
          <w:color w:val="000000" w:themeColor="text1"/>
          <w:lang w:val="en-GB"/>
        </w:rPr>
        <w:t xml:space="preserve"> </w:t>
      </w:r>
      <w:r w:rsidR="008472D2" w:rsidRPr="008472D2">
        <w:rPr>
          <w:rFonts w:ascii="Open Sans" w:hAnsi="Open Sans" w:cs="Open Sans"/>
        </w:rPr>
        <w:t>Dr. Joel Cubley</w:t>
      </w:r>
    </w:p>
    <w:p w14:paraId="4A7D8606" w14:textId="59E18387" w:rsidR="008472D2" w:rsidRPr="008472D2" w:rsidRDefault="008472D2" w:rsidP="75D8A2EC">
      <w:pPr>
        <w:spacing w:after="0" w:line="240" w:lineRule="auto"/>
        <w:rPr>
          <w:rFonts w:ascii="Open Sans" w:eastAsia="Calibri" w:hAnsi="Open Sans" w:cs="Open Sans"/>
          <w:color w:val="000000" w:themeColor="text1"/>
          <w:lang w:val="en-GB"/>
        </w:rPr>
      </w:pPr>
      <w:r>
        <w:rPr>
          <w:rFonts w:ascii="Open Sans" w:eastAsia="Calibri" w:hAnsi="Open Sans" w:cs="Open Sans"/>
          <w:b/>
          <w:bCs/>
          <w:color w:val="000000" w:themeColor="text1"/>
          <w:lang w:val="en-GB"/>
        </w:rPr>
        <w:t xml:space="preserve">OFFICE LOCATION: </w:t>
      </w:r>
      <w:r>
        <w:rPr>
          <w:rFonts w:ascii="Open Sans" w:eastAsia="Calibri" w:hAnsi="Open Sans" w:cs="Open Sans"/>
          <w:color w:val="000000" w:themeColor="text1"/>
          <w:lang w:val="en-GB"/>
        </w:rPr>
        <w:t>M107 (CNIM Building)</w:t>
      </w:r>
    </w:p>
    <w:p w14:paraId="16C51031" w14:textId="713D5327" w:rsidR="00E150B0" w:rsidRDefault="51BD5ADC" w:rsidP="75D8A2EC">
      <w:pPr>
        <w:spacing w:after="0" w:line="240" w:lineRule="auto"/>
        <w:rPr>
          <w:rFonts w:ascii="Open Sans" w:eastAsia="Calibri" w:hAnsi="Open Sans" w:cs="Open Sans"/>
          <w:color w:val="000000" w:themeColor="text1"/>
          <w:lang w:val="en-GB"/>
        </w:rPr>
      </w:pPr>
      <w:r w:rsidRPr="007538F8">
        <w:rPr>
          <w:rFonts w:ascii="Open Sans" w:eastAsia="Calibri" w:hAnsi="Open Sans" w:cs="Open Sans"/>
          <w:b/>
          <w:bCs/>
          <w:color w:val="000000" w:themeColor="text1"/>
          <w:lang w:val="en-GB"/>
        </w:rPr>
        <w:t>E-MAIL:</w:t>
      </w:r>
      <w:r w:rsidR="008472D2">
        <w:rPr>
          <w:rFonts w:ascii="Open Sans" w:eastAsia="Calibri" w:hAnsi="Open Sans" w:cs="Open Sans"/>
          <w:b/>
          <w:bCs/>
          <w:color w:val="000000" w:themeColor="text1"/>
          <w:lang w:val="en-GB"/>
        </w:rPr>
        <w:t xml:space="preserve"> </w:t>
      </w:r>
      <w:hyperlink r:id="rId12" w:history="1">
        <w:r w:rsidR="008472D2" w:rsidRPr="00B8753B">
          <w:rPr>
            <w:rStyle w:val="Hyperlink"/>
            <w:rFonts w:ascii="Open Sans" w:eastAsia="Calibri" w:hAnsi="Open Sans" w:cs="Open Sans"/>
            <w:lang w:val="en-GB"/>
          </w:rPr>
          <w:t>jcubley@yukonu.ca</w:t>
        </w:r>
      </w:hyperlink>
    </w:p>
    <w:p w14:paraId="013FCD88" w14:textId="06894413" w:rsidR="008472D2" w:rsidRDefault="008472D2" w:rsidP="75D8A2EC">
      <w:pPr>
        <w:spacing w:after="0" w:line="240" w:lineRule="auto"/>
        <w:rPr>
          <w:rFonts w:ascii="Open Sans" w:eastAsia="Calibri" w:hAnsi="Open Sans" w:cs="Open Sans"/>
          <w:color w:val="000000" w:themeColor="text1"/>
          <w:lang w:val="en-GB"/>
        </w:rPr>
      </w:pPr>
      <w:r>
        <w:rPr>
          <w:rFonts w:ascii="Open Sans" w:eastAsia="Calibri" w:hAnsi="Open Sans" w:cs="Open Sans"/>
          <w:b/>
          <w:bCs/>
          <w:color w:val="000000" w:themeColor="text1"/>
          <w:lang w:val="en-GB"/>
        </w:rPr>
        <w:t xml:space="preserve">PHONE: </w:t>
      </w:r>
      <w:r>
        <w:rPr>
          <w:rFonts w:ascii="Open Sans" w:eastAsia="Calibri" w:hAnsi="Open Sans" w:cs="Open Sans"/>
          <w:color w:val="000000" w:themeColor="text1"/>
          <w:lang w:val="en-GB"/>
        </w:rPr>
        <w:t>(867) 456-8605</w:t>
      </w:r>
    </w:p>
    <w:p w14:paraId="71F14402" w14:textId="4B22383D" w:rsidR="008472D2" w:rsidRDefault="008472D2" w:rsidP="75D8A2EC">
      <w:pPr>
        <w:spacing w:after="0" w:line="240" w:lineRule="auto"/>
        <w:rPr>
          <w:rFonts w:ascii="Open Sans" w:eastAsia="Calibri" w:hAnsi="Open Sans" w:cs="Open Sans"/>
          <w:color w:val="000000" w:themeColor="text1"/>
          <w:lang w:val="en-GB"/>
        </w:rPr>
      </w:pPr>
      <w:r>
        <w:rPr>
          <w:rFonts w:ascii="Open Sans" w:eastAsia="Calibri" w:hAnsi="Open Sans" w:cs="Open Sans"/>
          <w:b/>
          <w:bCs/>
          <w:color w:val="000000" w:themeColor="text1"/>
          <w:lang w:val="en-GB"/>
        </w:rPr>
        <w:t xml:space="preserve">COURSE DATES: </w:t>
      </w:r>
      <w:r>
        <w:rPr>
          <w:rFonts w:ascii="Open Sans" w:eastAsia="Calibri" w:hAnsi="Open Sans" w:cs="Open Sans"/>
          <w:color w:val="000000" w:themeColor="text1"/>
          <w:lang w:val="en-GB"/>
        </w:rPr>
        <w:t>January 4 – April 10, 2024</w:t>
      </w:r>
    </w:p>
    <w:p w14:paraId="66F66B3C" w14:textId="77777777" w:rsidR="008472D2" w:rsidRDefault="008472D2" w:rsidP="008472D2">
      <w:pPr>
        <w:spacing w:after="0" w:line="240" w:lineRule="auto"/>
        <w:rPr>
          <w:rFonts w:ascii="Open Sans" w:eastAsia="Calibri" w:hAnsi="Open Sans" w:cs="Open Sans"/>
          <w:color w:val="000000" w:themeColor="text1"/>
          <w:lang w:val="en-GB"/>
        </w:rPr>
      </w:pPr>
      <w:r>
        <w:rPr>
          <w:rFonts w:ascii="Open Sans" w:eastAsia="Calibri" w:hAnsi="Open Sans" w:cs="Open Sans"/>
          <w:b/>
          <w:bCs/>
          <w:color w:val="000000" w:themeColor="text1"/>
          <w:lang w:val="en-GB"/>
        </w:rPr>
        <w:t xml:space="preserve">COURSE TIMES: </w:t>
      </w:r>
      <w:r>
        <w:rPr>
          <w:rFonts w:ascii="Open Sans" w:eastAsia="Calibri" w:hAnsi="Open Sans" w:cs="Open Sans"/>
          <w:color w:val="000000" w:themeColor="text1"/>
          <w:lang w:val="en-GB"/>
        </w:rPr>
        <w:t>Tuesday/Thursday 9:00 – 10:30 am (lecture); Monday 1:00 – 4:00 pm (lab)</w:t>
      </w:r>
    </w:p>
    <w:p w14:paraId="75C0E8F9" w14:textId="5B4E53EC" w:rsidR="006375A8" w:rsidRPr="008472D2" w:rsidRDefault="006375A8" w:rsidP="008472D2">
      <w:pPr>
        <w:spacing w:after="0" w:line="240" w:lineRule="auto"/>
        <w:rPr>
          <w:rFonts w:ascii="Open Sans" w:eastAsia="Calibri" w:hAnsi="Open Sans" w:cs="Open Sans"/>
          <w:color w:val="000000" w:themeColor="text1"/>
          <w:lang w:val="en-GB"/>
        </w:rPr>
      </w:pPr>
      <w:r w:rsidRPr="007538F8">
        <w:rPr>
          <w:rFonts w:ascii="Open Sans" w:eastAsia="Calibri" w:hAnsi="Open Sans" w:cs="Open Sans"/>
          <w:i/>
          <w:iCs/>
          <w:noProof/>
          <w:color w:val="FF0000"/>
          <w:lang w:val="en-GB"/>
        </w:rPr>
        <mc:AlternateContent>
          <mc:Choice Requires="wps">
            <w:drawing>
              <wp:inline distT="0" distB="0" distL="0" distR="0" wp14:anchorId="576CCE98" wp14:editId="0E6B1459">
                <wp:extent cx="6973294" cy="0"/>
                <wp:effectExtent l="0" t="0" r="12065" b="12700"/>
                <wp:docPr id="1" name="Straight Connector 1"/>
                <wp:cNvGraphicFramePr/>
                <a:graphic xmlns:a="http://schemas.openxmlformats.org/drawingml/2006/main">
                  <a:graphicData uri="http://schemas.microsoft.com/office/word/2010/wordprocessingShape">
                    <wps:wsp>
                      <wps:cNvCnPr/>
                      <wps:spPr>
                        <a:xfrm>
                          <a:off x="0" y="0"/>
                          <a:ext cx="697329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64DEE05"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49.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" strokecolor="black [3213]" strokeweight="1pt">
                <v:stroke joinstyle="miter"/>
                <w10:anchorlock/>
              </v:line>
            </w:pict>
          </mc:Fallback>
        </mc:AlternateContent>
      </w:r>
    </w:p>
    <w:p w14:paraId="3139ACFE" w14:textId="5769DEBD" w:rsidR="00E150B0" w:rsidRPr="007538F8" w:rsidRDefault="008472D2" w:rsidP="00826588">
      <w:pPr>
        <w:spacing w:after="120" w:line="240" w:lineRule="auto"/>
        <w:rPr>
          <w:rFonts w:ascii="Open Sans" w:eastAsia="Calibri" w:hAnsi="Open Sans" w:cs="Open Sans"/>
          <w:b/>
          <w:bCs/>
          <w:color w:val="000000" w:themeColor="text1"/>
          <w:lang w:val="en-GB"/>
        </w:rPr>
      </w:pPr>
      <w:r>
        <w:rPr>
          <w:rFonts w:ascii="Open Sans" w:eastAsia="Calibri" w:hAnsi="Open Sans" w:cs="Open Sans"/>
          <w:b/>
          <w:bCs/>
          <w:color w:val="000000" w:themeColor="text1"/>
          <w:lang w:val="en-GB"/>
        </w:rPr>
        <w:br/>
      </w:r>
      <w:r w:rsidR="5E69704A" w:rsidRPr="007538F8">
        <w:rPr>
          <w:rFonts w:ascii="Open Sans" w:eastAsia="Calibri" w:hAnsi="Open Sans" w:cs="Open Sans"/>
          <w:b/>
          <w:bCs/>
          <w:color w:val="000000" w:themeColor="text1"/>
          <w:lang w:val="en-GB"/>
        </w:rPr>
        <w:t>COURSE DESCRIPTION</w:t>
      </w:r>
    </w:p>
    <w:p w14:paraId="2AEA5470" w14:textId="3580761A" w:rsidR="01DA6DB8" w:rsidRDefault="008472D2" w:rsidP="008472D2">
      <w:pPr>
        <w:spacing w:after="120" w:line="240" w:lineRule="auto"/>
        <w:rPr>
          <w:rFonts w:ascii="Open Sans" w:hAnsi="Open Sans" w:cs="Open Sans"/>
          <w:color w:val="000000"/>
        </w:rPr>
      </w:pPr>
      <w:r w:rsidRPr="008472D2">
        <w:rPr>
          <w:rFonts w:ascii="Open Sans" w:hAnsi="Open Sans" w:cs="Open Sans"/>
          <w:color w:val="000000"/>
        </w:rPr>
        <w:t>This course examines the chemical processes characteristic of specific geological settings, with an emphasis placed on the processes governing elemental differentiation, migration, and distribution. Discussion topics include high and low temperature fluid-rock interaction, aqueous geochemistry, stable and radiogenic isotopes, thermodynamics and kinetics, biogeochemistry, and solid-Earth geochemistry. Students will be introduced to common analytical techniques for determining rock, mineral, soil, and water compositions.</w:t>
      </w:r>
    </w:p>
    <w:p w14:paraId="4BB636E7" w14:textId="66334388" w:rsidR="008472D2" w:rsidRDefault="008472D2" w:rsidP="008472D2">
      <w:pPr>
        <w:spacing w:after="120" w:line="240" w:lineRule="auto"/>
        <w:rPr>
          <w:rFonts w:ascii="Open Sans" w:hAnsi="Open Sans" w:cs="Open Sans"/>
          <w:color w:val="000000"/>
        </w:rPr>
      </w:pPr>
      <w:r w:rsidRPr="008472D2">
        <w:rPr>
          <w:rFonts w:ascii="Open Sans" w:hAnsi="Open Sans" w:cs="Open Sans"/>
          <w:color w:val="000000"/>
        </w:rPr>
        <w:t>Laboratory exercises will focus on developing competencies in the collection, presentation and analysis of geochemical data. Investigations will utilize analytical equipment housed at the College including the atomic absorption (AA), Fourier-transform infrared (FTIR) and x-ray fluorescence (XRF) spectrometers. Students will gain an ability to independently assess and critique geochemical results.</w:t>
      </w:r>
    </w:p>
    <w:p w14:paraId="791CE6FF" w14:textId="77777777" w:rsidR="008472D2" w:rsidRPr="007538F8" w:rsidRDefault="008472D2" w:rsidP="008472D2">
      <w:pPr>
        <w:spacing w:after="120" w:line="240" w:lineRule="auto"/>
        <w:rPr>
          <w:rFonts w:ascii="Open Sans" w:eastAsia="Calibri" w:hAnsi="Open Sans" w:cs="Open Sans"/>
          <w:b/>
          <w:bCs/>
          <w:color w:val="000000" w:themeColor="text1"/>
          <w:lang w:val="en-GB"/>
        </w:rPr>
      </w:pPr>
    </w:p>
    <w:p w14:paraId="670FBBB7" w14:textId="2385C21A" w:rsidR="00E150B0" w:rsidRPr="007538F8" w:rsidRDefault="5E69704A" w:rsidP="00826588">
      <w:pPr>
        <w:spacing w:after="120" w:line="240" w:lineRule="auto"/>
        <w:rPr>
          <w:rFonts w:ascii="Open Sans" w:eastAsia="Calibri" w:hAnsi="Open Sans" w:cs="Open Sans"/>
          <w:color w:val="000000" w:themeColor="text1"/>
          <w:lang w:val="en-GB"/>
        </w:rPr>
      </w:pPr>
      <w:r w:rsidRPr="007538F8">
        <w:rPr>
          <w:rStyle w:val="normaltextrun"/>
          <w:rFonts w:ascii="Open Sans" w:eastAsia="Calibri" w:hAnsi="Open Sans" w:cs="Open Sans"/>
          <w:b/>
          <w:bCs/>
          <w:color w:val="000000" w:themeColor="text1"/>
          <w:lang w:val="en-GB"/>
        </w:rPr>
        <w:t>COURSE REQUIREMENTS</w:t>
      </w:r>
      <w:r w:rsidRPr="007538F8">
        <w:rPr>
          <w:rStyle w:val="eop"/>
          <w:rFonts w:ascii="Open Sans" w:eastAsia="Calibri" w:hAnsi="Open Sans" w:cs="Open Sans"/>
          <w:color w:val="000000" w:themeColor="text1"/>
          <w:lang w:val="en-CA"/>
        </w:rPr>
        <w:t> </w:t>
      </w:r>
    </w:p>
    <w:p w14:paraId="0C0215A4" w14:textId="72522F0B" w:rsidR="01DA6DB8" w:rsidRPr="008472D2" w:rsidRDefault="5E69704A" w:rsidP="008472D2">
      <w:pPr>
        <w:pStyle w:val="Default"/>
        <w:rPr>
          <w:rStyle w:val="eop"/>
          <w:rFonts w:ascii="Open Sans" w:hAnsi="Open Sans" w:cs="Open Sans"/>
          <w:sz w:val="22"/>
          <w:szCs w:val="22"/>
        </w:rPr>
      </w:pPr>
      <w:r w:rsidRPr="008472D2">
        <w:rPr>
          <w:rStyle w:val="normaltextrun"/>
          <w:rFonts w:ascii="Open Sans" w:eastAsia="Calibri" w:hAnsi="Open Sans" w:cs="Open Sans"/>
          <w:color w:val="000000" w:themeColor="text1"/>
          <w:sz w:val="22"/>
          <w:szCs w:val="22"/>
          <w:lang w:val="en-CA"/>
        </w:rPr>
        <w:t>Prerequisites:</w:t>
      </w:r>
      <w:r w:rsidR="008472D2" w:rsidRPr="008472D2">
        <w:rPr>
          <w:rStyle w:val="normaltextrun"/>
          <w:rFonts w:ascii="Open Sans" w:eastAsia="Calibri" w:hAnsi="Open Sans" w:cs="Open Sans"/>
          <w:color w:val="000000" w:themeColor="text1"/>
          <w:sz w:val="22"/>
          <w:szCs w:val="22"/>
          <w:lang w:val="en-CA"/>
        </w:rPr>
        <w:t xml:space="preserve"> </w:t>
      </w:r>
      <w:r w:rsidR="008472D2" w:rsidRPr="008472D2">
        <w:rPr>
          <w:rFonts w:ascii="Open Sans" w:hAnsi="Open Sans" w:cs="Open Sans"/>
          <w:sz w:val="22"/>
          <w:szCs w:val="22"/>
        </w:rPr>
        <w:t>Successful completion of GEOL 200 (Mineralogy), CHEM 110 (The Structure of Matter), and CHEM 111 (Chemical Energetics and Dynamics); or by permission of the instructor. Prior completion or concurrent enrolment in GEOG 101 and/or GEOG 102 (Physical Geography I, II) is advantageous but not required.</w:t>
      </w:r>
    </w:p>
    <w:p w14:paraId="6AC00234" w14:textId="77777777" w:rsidR="008472D2" w:rsidRDefault="008472D2" w:rsidP="00826588">
      <w:pPr>
        <w:spacing w:after="120" w:line="240" w:lineRule="auto"/>
        <w:jc w:val="both"/>
        <w:rPr>
          <w:rStyle w:val="normaltextrun"/>
          <w:rFonts w:ascii="Open Sans" w:eastAsia="Calibri" w:hAnsi="Open Sans" w:cs="Open Sans"/>
          <w:b/>
          <w:bCs/>
          <w:color w:val="000000" w:themeColor="text1"/>
          <w:lang w:val="en-GB"/>
        </w:rPr>
      </w:pPr>
    </w:p>
    <w:p w14:paraId="14B17327" w14:textId="4E533FB6" w:rsidR="00E150B0" w:rsidRPr="007538F8" w:rsidRDefault="5E69704A" w:rsidP="00826588">
      <w:pPr>
        <w:spacing w:after="120" w:line="240" w:lineRule="auto"/>
        <w:jc w:val="both"/>
        <w:rPr>
          <w:rStyle w:val="normaltextrun"/>
          <w:rFonts w:ascii="Open Sans" w:eastAsia="Calibri" w:hAnsi="Open Sans" w:cs="Open Sans"/>
          <w:b/>
          <w:bCs/>
          <w:color w:val="000000" w:themeColor="text1"/>
          <w:lang w:val="en-GB"/>
        </w:rPr>
      </w:pPr>
      <w:r w:rsidRPr="007538F8">
        <w:rPr>
          <w:rStyle w:val="normaltextrun"/>
          <w:rFonts w:ascii="Open Sans" w:eastAsia="Calibri" w:hAnsi="Open Sans" w:cs="Open Sans"/>
          <w:b/>
          <w:bCs/>
          <w:color w:val="000000" w:themeColor="text1"/>
          <w:lang w:val="en-GB"/>
        </w:rPr>
        <w:t>EQUIVALENCY OR TRANSFERABILITY</w:t>
      </w:r>
    </w:p>
    <w:p w14:paraId="0E2B34DD" w14:textId="03AEB6AB" w:rsidR="00E150B0" w:rsidRPr="007538F8" w:rsidRDefault="627EBF24" w:rsidP="01DA6DB8">
      <w:pPr>
        <w:spacing w:after="0" w:line="240" w:lineRule="auto"/>
        <w:jc w:val="both"/>
        <w:rPr>
          <w:rStyle w:val="normaltextrun"/>
          <w:rFonts w:ascii="Open Sans" w:eastAsia="Calibri" w:hAnsi="Open Sans" w:cs="Open Sans"/>
          <w:b/>
          <w:bCs/>
          <w:color w:val="000000" w:themeColor="text1"/>
          <w:lang w:val="en-GB"/>
        </w:rPr>
      </w:pPr>
      <w:r w:rsidRPr="007538F8">
        <w:rPr>
          <w:rStyle w:val="normaltextrun"/>
          <w:rFonts w:ascii="Open Sans" w:eastAsia="Calibri" w:hAnsi="Open Sans" w:cs="Open Sans"/>
          <w:color w:val="000000" w:themeColor="text1"/>
          <w:lang w:val="en-GB"/>
        </w:rPr>
        <w:t xml:space="preserve">Receiving institutions determine course transferability. Find further information at: </w:t>
      </w:r>
    </w:p>
    <w:p w14:paraId="23A8CF4B" w14:textId="559CD074" w:rsidR="00E150B0" w:rsidRPr="007538F8" w:rsidRDefault="00000000" w:rsidP="01DA6DB8">
      <w:pPr>
        <w:spacing w:line="240" w:lineRule="auto"/>
        <w:rPr>
          <w:rFonts w:ascii="Open Sans" w:hAnsi="Open Sans" w:cs="Open Sans"/>
        </w:rPr>
      </w:pPr>
      <w:hyperlink r:id="rId13">
        <w:r w:rsidR="5E69704A" w:rsidRPr="007538F8">
          <w:rPr>
            <w:rStyle w:val="Hyperlink"/>
            <w:rFonts w:ascii="Open Sans" w:hAnsi="Open Sans" w:cs="Open Sans"/>
            <w:lang w:val="en-CA"/>
          </w:rPr>
          <w:t>https://www.yukonu.ca/admissions/transfer-credit </w:t>
        </w:r>
      </w:hyperlink>
    </w:p>
    <w:p w14:paraId="2A80DC17" w14:textId="67B86193" w:rsidR="01DA6DB8" w:rsidRPr="007538F8" w:rsidRDefault="01DA6DB8" w:rsidP="01DA6DB8">
      <w:pPr>
        <w:spacing w:after="120" w:line="240" w:lineRule="auto"/>
        <w:rPr>
          <w:rFonts w:ascii="Open Sans" w:eastAsia="Calibri" w:hAnsi="Open Sans" w:cs="Open Sans"/>
          <w:color w:val="0563C1"/>
        </w:rPr>
      </w:pPr>
    </w:p>
    <w:p w14:paraId="1B533624" w14:textId="77777777" w:rsidR="008472D2" w:rsidRDefault="008472D2">
      <w:pPr>
        <w:rPr>
          <w:rStyle w:val="normaltextrun"/>
          <w:rFonts w:ascii="Open Sans" w:eastAsia="Calibri" w:hAnsi="Open Sans" w:cs="Open Sans"/>
          <w:b/>
          <w:bCs/>
          <w:color w:val="000000" w:themeColor="text1"/>
          <w:lang w:val="en-GB"/>
        </w:rPr>
      </w:pPr>
      <w:r>
        <w:rPr>
          <w:rStyle w:val="normaltextrun"/>
          <w:rFonts w:ascii="Open Sans" w:eastAsia="Calibri" w:hAnsi="Open Sans" w:cs="Open Sans"/>
          <w:b/>
          <w:bCs/>
          <w:color w:val="000000" w:themeColor="text1"/>
          <w:lang w:val="en-GB"/>
        </w:rPr>
        <w:br w:type="page"/>
      </w:r>
    </w:p>
    <w:p w14:paraId="07F06ED6" w14:textId="55E3B2E7" w:rsidR="00E150B0" w:rsidRPr="007538F8" w:rsidRDefault="5E69704A" w:rsidP="00826588">
      <w:pPr>
        <w:spacing w:after="120" w:line="240" w:lineRule="auto"/>
        <w:jc w:val="both"/>
        <w:rPr>
          <w:rFonts w:ascii="Open Sans" w:eastAsia="Calibri" w:hAnsi="Open Sans" w:cs="Open Sans"/>
          <w:color w:val="000000" w:themeColor="text1"/>
          <w:lang w:val="en-CA"/>
        </w:rPr>
      </w:pPr>
      <w:r w:rsidRPr="007538F8">
        <w:rPr>
          <w:rStyle w:val="normaltextrun"/>
          <w:rFonts w:ascii="Open Sans" w:eastAsia="Calibri" w:hAnsi="Open Sans" w:cs="Open Sans"/>
          <w:b/>
          <w:bCs/>
          <w:color w:val="000000" w:themeColor="text1"/>
          <w:lang w:val="en-GB"/>
        </w:rPr>
        <w:lastRenderedPageBreak/>
        <w:t>LEARNING OUTCOMES</w:t>
      </w:r>
      <w:r w:rsidRPr="007538F8">
        <w:rPr>
          <w:rStyle w:val="eop"/>
          <w:rFonts w:ascii="Open Sans" w:eastAsia="Calibri" w:hAnsi="Open Sans" w:cs="Open Sans"/>
          <w:color w:val="000000" w:themeColor="text1"/>
          <w:lang w:val="en-CA"/>
        </w:rPr>
        <w:t> </w:t>
      </w:r>
    </w:p>
    <w:p w14:paraId="4707E4C8" w14:textId="5ECB64A8" w:rsidR="006375A8" w:rsidRPr="007538F8" w:rsidRDefault="5E69704A" w:rsidP="00826588">
      <w:pPr>
        <w:spacing w:after="120" w:line="240" w:lineRule="auto"/>
        <w:jc w:val="both"/>
        <w:rPr>
          <w:rStyle w:val="normaltextrun"/>
          <w:rFonts w:ascii="Open Sans" w:eastAsia="Calibri" w:hAnsi="Open Sans" w:cs="Open Sans"/>
          <w:color w:val="000000" w:themeColor="text1"/>
          <w:lang w:val="en-GB"/>
        </w:rPr>
      </w:pPr>
      <w:r w:rsidRPr="007538F8">
        <w:rPr>
          <w:rStyle w:val="normaltextrun"/>
          <w:rFonts w:ascii="Open Sans" w:eastAsia="Calibri" w:hAnsi="Open Sans" w:cs="Open Sans"/>
          <w:color w:val="000000" w:themeColor="text1"/>
          <w:lang w:val="en-GB"/>
        </w:rPr>
        <w:t>Upon successful completion of the course, students will be able t</w:t>
      </w:r>
      <w:r w:rsidR="77736C22" w:rsidRPr="007538F8">
        <w:rPr>
          <w:rStyle w:val="normaltextrun"/>
          <w:rFonts w:ascii="Open Sans" w:eastAsia="Calibri" w:hAnsi="Open Sans" w:cs="Open Sans"/>
          <w:color w:val="000000" w:themeColor="text1"/>
          <w:lang w:val="en-GB"/>
        </w:rPr>
        <w:t>o:</w:t>
      </w:r>
    </w:p>
    <w:p w14:paraId="20B90507" w14:textId="77777777" w:rsidR="008472D2" w:rsidRPr="008472D2" w:rsidRDefault="008472D2" w:rsidP="008472D2">
      <w:pPr>
        <w:autoSpaceDE w:val="0"/>
        <w:autoSpaceDN w:val="0"/>
        <w:adjustRightInd w:val="0"/>
        <w:spacing w:after="0" w:line="240" w:lineRule="auto"/>
        <w:rPr>
          <w:rFonts w:ascii="Open Sans" w:hAnsi="Open Sans" w:cs="Open Sans"/>
          <w:color w:val="000000"/>
          <w:sz w:val="24"/>
          <w:szCs w:val="24"/>
        </w:rPr>
      </w:pPr>
    </w:p>
    <w:p w14:paraId="7502A22D" w14:textId="77777777" w:rsidR="008472D2" w:rsidRPr="008472D2" w:rsidRDefault="008472D2" w:rsidP="008472D2">
      <w:pPr>
        <w:pStyle w:val="ListParagraph"/>
        <w:numPr>
          <w:ilvl w:val="0"/>
          <w:numId w:val="10"/>
        </w:numPr>
        <w:autoSpaceDE w:val="0"/>
        <w:autoSpaceDN w:val="0"/>
        <w:adjustRightInd w:val="0"/>
        <w:spacing w:after="0" w:line="240" w:lineRule="auto"/>
        <w:rPr>
          <w:rFonts w:ascii="Open Sans" w:hAnsi="Open Sans" w:cs="Open Sans"/>
          <w:color w:val="000000"/>
        </w:rPr>
      </w:pPr>
      <w:r w:rsidRPr="008472D2">
        <w:rPr>
          <w:rFonts w:ascii="Open Sans" w:hAnsi="Open Sans" w:cs="Open Sans"/>
          <w:color w:val="000000"/>
        </w:rPr>
        <w:t xml:space="preserve">Describe the geochemical evolution of the solar system and Earth and apply chemical concepts to predict the outcome of geologic and tectonic processes. </w:t>
      </w:r>
    </w:p>
    <w:p w14:paraId="011480E0" w14:textId="77777777" w:rsidR="008472D2" w:rsidRPr="008472D2" w:rsidRDefault="008472D2" w:rsidP="008472D2">
      <w:pPr>
        <w:autoSpaceDE w:val="0"/>
        <w:autoSpaceDN w:val="0"/>
        <w:adjustRightInd w:val="0"/>
        <w:spacing w:after="0" w:line="240" w:lineRule="auto"/>
        <w:rPr>
          <w:rFonts w:ascii="Open Sans" w:hAnsi="Open Sans" w:cs="Open Sans"/>
          <w:color w:val="000000"/>
        </w:rPr>
      </w:pPr>
    </w:p>
    <w:p w14:paraId="0AA0D3D7" w14:textId="0860B89E" w:rsidR="008472D2" w:rsidRPr="008472D2" w:rsidRDefault="008472D2" w:rsidP="008472D2">
      <w:pPr>
        <w:pStyle w:val="ListParagraph"/>
        <w:numPr>
          <w:ilvl w:val="0"/>
          <w:numId w:val="10"/>
        </w:numPr>
        <w:autoSpaceDE w:val="0"/>
        <w:autoSpaceDN w:val="0"/>
        <w:adjustRightInd w:val="0"/>
        <w:spacing w:after="0" w:line="240" w:lineRule="auto"/>
        <w:rPr>
          <w:rFonts w:ascii="Open Sans" w:hAnsi="Open Sans" w:cs="Open Sans"/>
          <w:color w:val="000000"/>
        </w:rPr>
      </w:pPr>
      <w:r w:rsidRPr="008472D2">
        <w:rPr>
          <w:rFonts w:ascii="Open Sans" w:hAnsi="Open Sans" w:cs="Open Sans"/>
          <w:color w:val="000000"/>
        </w:rPr>
        <w:t xml:space="preserve">Describe the principles behind common analytical techniques; gather and interpret their own geochemical data using the appropriate instrumentation and data processing techniques. </w:t>
      </w:r>
    </w:p>
    <w:p w14:paraId="56EB9701" w14:textId="77777777" w:rsidR="008472D2" w:rsidRPr="008472D2" w:rsidRDefault="008472D2" w:rsidP="008472D2">
      <w:pPr>
        <w:autoSpaceDE w:val="0"/>
        <w:autoSpaceDN w:val="0"/>
        <w:adjustRightInd w:val="0"/>
        <w:spacing w:after="0" w:line="240" w:lineRule="auto"/>
        <w:rPr>
          <w:rFonts w:ascii="Open Sans" w:hAnsi="Open Sans" w:cs="Open Sans"/>
          <w:color w:val="000000"/>
        </w:rPr>
      </w:pPr>
    </w:p>
    <w:p w14:paraId="270CD3AD" w14:textId="1FCFCDAC" w:rsidR="008472D2" w:rsidRPr="008472D2" w:rsidRDefault="008472D2" w:rsidP="008472D2">
      <w:pPr>
        <w:pStyle w:val="ListParagraph"/>
        <w:numPr>
          <w:ilvl w:val="0"/>
          <w:numId w:val="10"/>
        </w:numPr>
        <w:autoSpaceDE w:val="0"/>
        <w:autoSpaceDN w:val="0"/>
        <w:adjustRightInd w:val="0"/>
        <w:spacing w:after="0" w:line="240" w:lineRule="auto"/>
        <w:rPr>
          <w:rFonts w:ascii="Open Sans" w:hAnsi="Open Sans" w:cs="Open Sans"/>
          <w:color w:val="000000"/>
        </w:rPr>
      </w:pPr>
      <w:r w:rsidRPr="008472D2">
        <w:rPr>
          <w:rFonts w:ascii="Open Sans" w:hAnsi="Open Sans" w:cs="Open Sans"/>
          <w:color w:val="000000"/>
        </w:rPr>
        <w:t xml:space="preserve">Plan and carry out appropriate mathematical strategies for solving applied geochemical problems. </w:t>
      </w:r>
    </w:p>
    <w:p w14:paraId="32214899" w14:textId="77777777" w:rsidR="008472D2" w:rsidRPr="008472D2" w:rsidRDefault="008472D2" w:rsidP="008472D2">
      <w:pPr>
        <w:autoSpaceDE w:val="0"/>
        <w:autoSpaceDN w:val="0"/>
        <w:adjustRightInd w:val="0"/>
        <w:spacing w:after="0" w:line="240" w:lineRule="auto"/>
        <w:rPr>
          <w:rFonts w:ascii="Open Sans" w:hAnsi="Open Sans" w:cs="Open Sans"/>
          <w:color w:val="000000"/>
        </w:rPr>
      </w:pPr>
    </w:p>
    <w:p w14:paraId="41EAEAA0" w14:textId="08434648" w:rsidR="008472D2" w:rsidRPr="008472D2" w:rsidRDefault="008472D2" w:rsidP="008472D2">
      <w:pPr>
        <w:pStyle w:val="ListParagraph"/>
        <w:numPr>
          <w:ilvl w:val="0"/>
          <w:numId w:val="10"/>
        </w:numPr>
        <w:autoSpaceDE w:val="0"/>
        <w:autoSpaceDN w:val="0"/>
        <w:adjustRightInd w:val="0"/>
        <w:spacing w:after="0" w:line="240" w:lineRule="auto"/>
        <w:rPr>
          <w:rFonts w:ascii="Open Sans" w:hAnsi="Open Sans" w:cs="Open Sans"/>
          <w:color w:val="000000"/>
        </w:rPr>
      </w:pPr>
      <w:r w:rsidRPr="008472D2">
        <w:rPr>
          <w:rFonts w:ascii="Open Sans" w:hAnsi="Open Sans" w:cs="Open Sans"/>
          <w:color w:val="000000"/>
        </w:rPr>
        <w:t xml:space="preserve">Apply radiogenic isotope systems to fingerprint reservoir compositions and determine the absolute and/or cooling ages of rocks and minerals; use stable isotopes to reconstruct past climatic conditions. </w:t>
      </w:r>
    </w:p>
    <w:p w14:paraId="6C37DC2E" w14:textId="77777777" w:rsidR="008472D2" w:rsidRPr="008472D2" w:rsidRDefault="008472D2" w:rsidP="008472D2">
      <w:pPr>
        <w:autoSpaceDE w:val="0"/>
        <w:autoSpaceDN w:val="0"/>
        <w:adjustRightInd w:val="0"/>
        <w:spacing w:after="0" w:line="240" w:lineRule="auto"/>
        <w:rPr>
          <w:rFonts w:ascii="Open Sans" w:hAnsi="Open Sans" w:cs="Open Sans"/>
          <w:color w:val="000000"/>
        </w:rPr>
      </w:pPr>
    </w:p>
    <w:p w14:paraId="3606CBAB" w14:textId="52130F10" w:rsidR="008472D2" w:rsidRPr="008472D2" w:rsidRDefault="008472D2" w:rsidP="008472D2">
      <w:pPr>
        <w:pStyle w:val="ListParagraph"/>
        <w:numPr>
          <w:ilvl w:val="0"/>
          <w:numId w:val="10"/>
        </w:numPr>
        <w:autoSpaceDE w:val="0"/>
        <w:autoSpaceDN w:val="0"/>
        <w:adjustRightInd w:val="0"/>
        <w:spacing w:after="0" w:line="240" w:lineRule="auto"/>
        <w:rPr>
          <w:rFonts w:ascii="Open Sans" w:hAnsi="Open Sans" w:cs="Open Sans"/>
          <w:color w:val="000000"/>
        </w:rPr>
      </w:pPr>
      <w:r w:rsidRPr="008472D2">
        <w:rPr>
          <w:rFonts w:ascii="Open Sans" w:hAnsi="Open Sans" w:cs="Open Sans"/>
          <w:color w:val="000000"/>
        </w:rPr>
        <w:t xml:space="preserve">Use their understanding of thermodynamics, kinetics, and aqueous geochemistry to predict mineral and fluid-rock reactions for a geochemical system and given environmental conditions. </w:t>
      </w:r>
    </w:p>
    <w:p w14:paraId="3DC03BCF" w14:textId="77777777" w:rsidR="008472D2" w:rsidRPr="008472D2" w:rsidRDefault="008472D2" w:rsidP="008472D2">
      <w:pPr>
        <w:autoSpaceDE w:val="0"/>
        <w:autoSpaceDN w:val="0"/>
        <w:adjustRightInd w:val="0"/>
        <w:spacing w:after="0" w:line="240" w:lineRule="auto"/>
        <w:rPr>
          <w:rFonts w:ascii="Open Sans" w:hAnsi="Open Sans" w:cs="Open Sans"/>
          <w:color w:val="000000"/>
        </w:rPr>
      </w:pPr>
    </w:p>
    <w:p w14:paraId="12C34221" w14:textId="672D612C" w:rsidR="008472D2" w:rsidRPr="008472D2" w:rsidRDefault="008472D2" w:rsidP="008472D2">
      <w:pPr>
        <w:pStyle w:val="ListParagraph"/>
        <w:numPr>
          <w:ilvl w:val="0"/>
          <w:numId w:val="10"/>
        </w:numPr>
        <w:autoSpaceDE w:val="0"/>
        <w:autoSpaceDN w:val="0"/>
        <w:adjustRightInd w:val="0"/>
        <w:spacing w:after="0" w:line="240" w:lineRule="auto"/>
        <w:rPr>
          <w:rFonts w:ascii="Open Sans" w:hAnsi="Open Sans" w:cs="Open Sans"/>
          <w:color w:val="000000"/>
        </w:rPr>
      </w:pPr>
      <w:r w:rsidRPr="008472D2">
        <w:rPr>
          <w:rFonts w:ascii="Open Sans" w:hAnsi="Open Sans" w:cs="Open Sans"/>
          <w:color w:val="000000"/>
        </w:rPr>
        <w:t xml:space="preserve">Manipulate major oxide and trace element geochemical data to interpret the petrogenesis of igneous rocks. </w:t>
      </w:r>
    </w:p>
    <w:p w14:paraId="3BE1607E" w14:textId="77777777" w:rsidR="006375A8" w:rsidRPr="007538F8" w:rsidRDefault="006375A8" w:rsidP="00826588">
      <w:pPr>
        <w:spacing w:after="120" w:line="240" w:lineRule="auto"/>
        <w:jc w:val="both"/>
        <w:rPr>
          <w:rStyle w:val="normaltextrun"/>
          <w:rFonts w:ascii="Open Sans" w:eastAsia="Calibri" w:hAnsi="Open Sans" w:cs="Open Sans"/>
          <w:color w:val="000000" w:themeColor="text1"/>
          <w:lang w:val="en-CA"/>
        </w:rPr>
      </w:pPr>
    </w:p>
    <w:p w14:paraId="02B198A1" w14:textId="32A44EF8" w:rsidR="00E150B0" w:rsidRPr="007538F8" w:rsidRDefault="44967B17" w:rsidP="00826588">
      <w:pPr>
        <w:spacing w:after="120" w:line="240" w:lineRule="auto"/>
        <w:jc w:val="both"/>
        <w:rPr>
          <w:rFonts w:ascii="Open Sans" w:eastAsia="Calibri" w:hAnsi="Open Sans" w:cs="Open Sans"/>
          <w:color w:val="000000" w:themeColor="text1"/>
          <w:lang w:val="en-CA"/>
        </w:rPr>
      </w:pPr>
      <w:r w:rsidRPr="007538F8">
        <w:rPr>
          <w:rStyle w:val="normaltextrun"/>
          <w:rFonts w:ascii="Open Sans" w:eastAsia="Calibri" w:hAnsi="Open Sans" w:cs="Open Sans"/>
          <w:b/>
          <w:bCs/>
          <w:color w:val="000000" w:themeColor="text1"/>
          <w:lang w:val="en-GB"/>
        </w:rPr>
        <w:t>COURSE FORMAT </w:t>
      </w:r>
    </w:p>
    <w:p w14:paraId="728126C3" w14:textId="6DFC8726" w:rsidR="00910FBD" w:rsidRPr="007538F8" w:rsidRDefault="26274A2B" w:rsidP="007538F8">
      <w:pPr>
        <w:spacing w:beforeAutospacing="1" w:after="120" w:line="240" w:lineRule="auto"/>
        <w:rPr>
          <w:rFonts w:ascii="Open Sans" w:eastAsia="Calibri" w:hAnsi="Open Sans" w:cs="Open Sans"/>
          <w:b/>
          <w:bCs/>
          <w:color w:val="000000" w:themeColor="text1"/>
          <w:lang w:val="en-CA"/>
        </w:rPr>
      </w:pPr>
      <w:r w:rsidRPr="007538F8">
        <w:rPr>
          <w:rStyle w:val="normaltextrun"/>
          <w:rFonts w:ascii="Open Sans" w:eastAsia="Calibri" w:hAnsi="Open Sans" w:cs="Open Sans"/>
          <w:b/>
          <w:bCs/>
          <w:color w:val="000000" w:themeColor="text1"/>
          <w:lang w:val="en-CA"/>
        </w:rPr>
        <w:t xml:space="preserve">Weekly </w:t>
      </w:r>
      <w:r w:rsidR="0BF03A37" w:rsidRPr="007538F8">
        <w:rPr>
          <w:rStyle w:val="normaltextrun"/>
          <w:rFonts w:ascii="Open Sans" w:eastAsia="Calibri" w:hAnsi="Open Sans" w:cs="Open Sans"/>
          <w:b/>
          <w:bCs/>
          <w:color w:val="000000" w:themeColor="text1"/>
          <w:lang w:val="en-CA"/>
        </w:rPr>
        <w:t xml:space="preserve">breakdown of </w:t>
      </w:r>
      <w:r w:rsidRPr="007538F8">
        <w:rPr>
          <w:rStyle w:val="normaltextrun"/>
          <w:rFonts w:ascii="Open Sans" w:eastAsia="Calibri" w:hAnsi="Open Sans" w:cs="Open Sans"/>
          <w:b/>
          <w:bCs/>
          <w:color w:val="000000" w:themeColor="text1"/>
          <w:lang w:val="en-CA"/>
        </w:rPr>
        <w:t xml:space="preserve">instructional </w:t>
      </w:r>
      <w:r w:rsidR="2966397B" w:rsidRPr="007538F8">
        <w:rPr>
          <w:rStyle w:val="normaltextrun"/>
          <w:rFonts w:ascii="Open Sans" w:eastAsia="Calibri" w:hAnsi="Open Sans" w:cs="Open Sans"/>
          <w:b/>
          <w:bCs/>
          <w:color w:val="000000" w:themeColor="text1"/>
          <w:lang w:val="en-CA"/>
        </w:rPr>
        <w:t>hours</w:t>
      </w:r>
      <w:r w:rsidR="061D9C35" w:rsidRPr="007538F8">
        <w:rPr>
          <w:rStyle w:val="normaltextrun"/>
          <w:rFonts w:ascii="Open Sans" w:eastAsia="Calibri" w:hAnsi="Open Sans" w:cs="Open Sans"/>
          <w:b/>
          <w:bCs/>
          <w:color w:val="000000" w:themeColor="text1"/>
          <w:lang w:val="en-CA"/>
        </w:rPr>
        <w:t xml:space="preserve"> </w:t>
      </w:r>
    </w:p>
    <w:p w14:paraId="40E7BE55" w14:textId="0632242A" w:rsidR="008472D2" w:rsidRDefault="008472D2" w:rsidP="008472D2">
      <w:pPr>
        <w:spacing w:beforeAutospacing="1" w:after="0" w:line="240" w:lineRule="auto"/>
        <w:rPr>
          <w:rStyle w:val="normaltextrun"/>
          <w:rFonts w:ascii="Open Sans" w:eastAsia="Calibri" w:hAnsi="Open Sans" w:cs="Open Sans"/>
          <w:i/>
          <w:iCs/>
          <w:color w:val="FF0000"/>
          <w:lang w:val="en-CA"/>
        </w:rPr>
      </w:pPr>
      <w:r w:rsidRPr="008472D2">
        <w:rPr>
          <w:rFonts w:ascii="Open Sans" w:hAnsi="Open Sans" w:cs="Open Sans"/>
        </w:rPr>
        <w:t>This course consists of two 90-minute lectures and one ~3-hour lab period per week. It is expected that this course will require 3-5 hours/week of homework and additional reading. It is important to note that the time required will vary by individual.</w:t>
      </w:r>
    </w:p>
    <w:p w14:paraId="01733F70" w14:textId="77777777" w:rsidR="008472D2" w:rsidRPr="007538F8" w:rsidRDefault="008472D2" w:rsidP="008472D2">
      <w:pPr>
        <w:spacing w:beforeAutospacing="1" w:after="0" w:line="240" w:lineRule="auto"/>
        <w:rPr>
          <w:rStyle w:val="normaltextrun"/>
          <w:rFonts w:ascii="Open Sans" w:eastAsia="Calibri" w:hAnsi="Open Sans" w:cs="Open Sans"/>
          <w:i/>
          <w:iCs/>
          <w:color w:val="FF0000"/>
          <w:lang w:val="en-CA"/>
        </w:rPr>
      </w:pPr>
    </w:p>
    <w:p w14:paraId="2C078E63" w14:textId="3B048F8D" w:rsidR="00E150B0" w:rsidRPr="007538F8" w:rsidRDefault="6D533042" w:rsidP="01DA6DB8">
      <w:pPr>
        <w:spacing w:after="120" w:line="240" w:lineRule="auto"/>
        <w:rPr>
          <w:rFonts w:ascii="Open Sans" w:eastAsia="Calibri" w:hAnsi="Open Sans" w:cs="Open Sans"/>
          <w:b/>
          <w:bCs/>
          <w:color w:val="000000" w:themeColor="text1"/>
          <w:lang w:val="en-GB"/>
        </w:rPr>
      </w:pPr>
      <w:r w:rsidRPr="007538F8">
        <w:rPr>
          <w:rFonts w:ascii="Open Sans" w:eastAsia="Calibri" w:hAnsi="Open Sans" w:cs="Open Sans"/>
          <w:b/>
          <w:bCs/>
          <w:color w:val="000000" w:themeColor="text1"/>
          <w:lang w:val="en-GB"/>
        </w:rPr>
        <w:t>Delivery format</w:t>
      </w:r>
    </w:p>
    <w:p w14:paraId="7E1B413E" w14:textId="77777777" w:rsidR="008472D2" w:rsidRPr="008472D2" w:rsidRDefault="008472D2" w:rsidP="008472D2">
      <w:pPr>
        <w:autoSpaceDE w:val="0"/>
        <w:autoSpaceDN w:val="0"/>
        <w:adjustRightInd w:val="0"/>
        <w:spacing w:after="0" w:line="240" w:lineRule="auto"/>
        <w:rPr>
          <w:rFonts w:ascii="Open Sans" w:hAnsi="Open Sans" w:cs="Open Sans"/>
          <w:color w:val="000000"/>
        </w:rPr>
      </w:pPr>
      <w:r w:rsidRPr="008472D2">
        <w:rPr>
          <w:rFonts w:ascii="Open Sans" w:hAnsi="Open Sans" w:cs="Open Sans"/>
          <w:color w:val="000000"/>
        </w:rPr>
        <w:t xml:space="preserve">All components are offered in a face-to-face format. The schedule included in this course </w:t>
      </w:r>
      <w:proofErr w:type="gramStart"/>
      <w:r w:rsidRPr="008472D2">
        <w:rPr>
          <w:rFonts w:ascii="Open Sans" w:hAnsi="Open Sans" w:cs="Open Sans"/>
          <w:color w:val="000000"/>
        </w:rPr>
        <w:t>outline</w:t>
      </w:r>
      <w:proofErr w:type="gramEnd"/>
      <w:r w:rsidRPr="008472D2">
        <w:rPr>
          <w:rFonts w:ascii="Open Sans" w:hAnsi="Open Sans" w:cs="Open Sans"/>
          <w:color w:val="000000"/>
        </w:rPr>
        <w:t xml:space="preserve"> details the major topics covered and when those topics will be presented throughout the course. Lab exercises will be conducted in classroom, laboratory and field settings. The time required for certain lab exercises will vary depending on the complexity of the exercise and the data processing involved. Whereas these exercises will be on average 3 hours in length, expect variation in time requirements. Advanced notice will be provided at least one week prior if an exercise will conclude later than 4 pm. </w:t>
      </w:r>
    </w:p>
    <w:p w14:paraId="246B46CD" w14:textId="77777777" w:rsidR="008472D2" w:rsidRDefault="008472D2" w:rsidP="008472D2">
      <w:pPr>
        <w:spacing w:after="120" w:line="240" w:lineRule="auto"/>
        <w:rPr>
          <w:rFonts w:ascii="Open Sans" w:hAnsi="Open Sans" w:cs="Open Sans"/>
          <w:color w:val="000000"/>
        </w:rPr>
      </w:pPr>
    </w:p>
    <w:p w14:paraId="6B30981F" w14:textId="01D35B89" w:rsidR="01DA6DB8" w:rsidRPr="007538F8" w:rsidRDefault="008472D2" w:rsidP="008472D2">
      <w:pPr>
        <w:spacing w:after="120" w:line="240" w:lineRule="auto"/>
        <w:rPr>
          <w:rFonts w:ascii="Open Sans" w:eastAsia="Calibri" w:hAnsi="Open Sans" w:cs="Open Sans"/>
          <w:b/>
          <w:bCs/>
          <w:color w:val="000000" w:themeColor="text1"/>
          <w:lang w:val="en-GB"/>
        </w:rPr>
      </w:pPr>
      <w:r w:rsidRPr="008472D2">
        <w:rPr>
          <w:rFonts w:ascii="Open Sans" w:hAnsi="Open Sans" w:cs="Open Sans"/>
          <w:color w:val="000000"/>
        </w:rPr>
        <w:t>Students are strongly encouraged to attend all lectures and lab classes. Hands-on exercises conducted during class time cannot be completed after-hours unless prior permission from the instructor is obtained.</w:t>
      </w:r>
    </w:p>
    <w:p w14:paraId="733C6B5E" w14:textId="77777777" w:rsidR="008472D2" w:rsidRDefault="008472D2">
      <w:pPr>
        <w:rPr>
          <w:rFonts w:ascii="Open Sans" w:eastAsia="Calibri" w:hAnsi="Open Sans" w:cs="Open Sans"/>
          <w:b/>
          <w:bCs/>
          <w:color w:val="000000" w:themeColor="text1"/>
          <w:lang w:val="en-GB"/>
        </w:rPr>
      </w:pPr>
      <w:r>
        <w:rPr>
          <w:rFonts w:ascii="Open Sans" w:eastAsia="Calibri" w:hAnsi="Open Sans" w:cs="Open Sans"/>
          <w:b/>
          <w:bCs/>
          <w:color w:val="000000" w:themeColor="text1"/>
          <w:lang w:val="en-GB"/>
        </w:rPr>
        <w:br w:type="page"/>
      </w:r>
    </w:p>
    <w:p w14:paraId="1D140A8E" w14:textId="4287EA83" w:rsidR="4DE74D56" w:rsidRPr="007538F8" w:rsidRDefault="4DE74D56" w:rsidP="00826588">
      <w:pPr>
        <w:spacing w:after="120" w:line="240" w:lineRule="auto"/>
        <w:rPr>
          <w:rFonts w:ascii="Open Sans" w:eastAsia="Calibri" w:hAnsi="Open Sans" w:cs="Open Sans"/>
          <w:b/>
          <w:bCs/>
          <w:color w:val="000000" w:themeColor="text1"/>
          <w:lang w:val="en-GB"/>
        </w:rPr>
      </w:pPr>
      <w:r w:rsidRPr="007538F8">
        <w:rPr>
          <w:rFonts w:ascii="Open Sans" w:eastAsia="Calibri" w:hAnsi="Open Sans" w:cs="Open Sans"/>
          <w:b/>
          <w:bCs/>
          <w:color w:val="000000" w:themeColor="text1"/>
          <w:lang w:val="en-GB"/>
        </w:rPr>
        <w:lastRenderedPageBreak/>
        <w:t>EVALUATION</w:t>
      </w:r>
    </w:p>
    <w:tbl>
      <w:tblPr>
        <w:tblStyle w:val="TableGrid"/>
        <w:tblW w:w="5935" w:type="dxa"/>
        <w:tblLayout w:type="fixed"/>
        <w:tblLook w:val="04A0" w:firstRow="1" w:lastRow="0" w:firstColumn="1" w:lastColumn="0" w:noHBand="0" w:noVBand="1"/>
      </w:tblPr>
      <w:tblGrid>
        <w:gridCol w:w="3900"/>
        <w:gridCol w:w="2035"/>
      </w:tblGrid>
      <w:tr w:rsidR="75D8A2EC" w:rsidRPr="007538F8" w14:paraId="3BFA4255" w14:textId="77777777" w:rsidTr="008472D2">
        <w:tc>
          <w:tcPr>
            <w:tcW w:w="3900" w:type="dxa"/>
          </w:tcPr>
          <w:p w14:paraId="53AFBADC" w14:textId="6BC54F51" w:rsidR="75D8A2EC" w:rsidRPr="007538F8" w:rsidRDefault="008472D2" w:rsidP="00826588">
            <w:pPr>
              <w:rPr>
                <w:rFonts w:ascii="Open Sans" w:eastAsia="Calibri" w:hAnsi="Open Sans" w:cs="Open Sans"/>
                <w:lang w:val="en-GB"/>
              </w:rPr>
            </w:pPr>
            <w:r>
              <w:rPr>
                <w:rFonts w:ascii="Open Sans" w:eastAsia="Calibri" w:hAnsi="Open Sans" w:cs="Open Sans"/>
                <w:lang w:val="en-GB"/>
              </w:rPr>
              <w:t>Weekly Lab Assignments</w:t>
            </w:r>
          </w:p>
        </w:tc>
        <w:tc>
          <w:tcPr>
            <w:tcW w:w="2035" w:type="dxa"/>
          </w:tcPr>
          <w:p w14:paraId="359B0082" w14:textId="08F78A4B" w:rsidR="75D8A2EC" w:rsidRPr="007538F8" w:rsidRDefault="008472D2" w:rsidP="01DA6DB8">
            <w:pPr>
              <w:jc w:val="both"/>
              <w:rPr>
                <w:rFonts w:ascii="Open Sans" w:eastAsia="Calibri" w:hAnsi="Open Sans" w:cs="Open Sans"/>
                <w:lang w:val="en-CA"/>
              </w:rPr>
            </w:pPr>
            <w:r>
              <w:rPr>
                <w:rFonts w:ascii="Open Sans" w:eastAsia="Calibri" w:hAnsi="Open Sans" w:cs="Open Sans"/>
                <w:lang w:val="en-CA"/>
              </w:rPr>
              <w:t>30% (3% each)</w:t>
            </w:r>
          </w:p>
        </w:tc>
      </w:tr>
      <w:tr w:rsidR="008472D2" w:rsidRPr="007538F8" w14:paraId="6B5BF797" w14:textId="77777777" w:rsidTr="008472D2">
        <w:tc>
          <w:tcPr>
            <w:tcW w:w="3900" w:type="dxa"/>
          </w:tcPr>
          <w:p w14:paraId="74E97227" w14:textId="6803D701" w:rsidR="008472D2" w:rsidRDefault="008472D2" w:rsidP="00826588">
            <w:pPr>
              <w:rPr>
                <w:rFonts w:ascii="Open Sans" w:eastAsia="Calibri" w:hAnsi="Open Sans" w:cs="Open Sans"/>
                <w:lang w:val="en-GB"/>
              </w:rPr>
            </w:pPr>
            <w:r>
              <w:rPr>
                <w:rFonts w:ascii="Open Sans" w:eastAsia="Calibri" w:hAnsi="Open Sans" w:cs="Open Sans"/>
                <w:lang w:val="en-GB"/>
              </w:rPr>
              <w:t>Final Assay Report</w:t>
            </w:r>
          </w:p>
        </w:tc>
        <w:tc>
          <w:tcPr>
            <w:tcW w:w="2035" w:type="dxa"/>
          </w:tcPr>
          <w:p w14:paraId="3ACD26F2" w14:textId="05DD4496" w:rsidR="008472D2" w:rsidRDefault="008472D2" w:rsidP="01DA6DB8">
            <w:pPr>
              <w:jc w:val="both"/>
              <w:rPr>
                <w:rFonts w:ascii="Open Sans" w:eastAsia="Calibri" w:hAnsi="Open Sans" w:cs="Open Sans"/>
                <w:lang w:val="en-CA"/>
              </w:rPr>
            </w:pPr>
            <w:r>
              <w:rPr>
                <w:rFonts w:ascii="Open Sans" w:eastAsia="Calibri" w:hAnsi="Open Sans" w:cs="Open Sans"/>
                <w:lang w:val="en-CA"/>
              </w:rPr>
              <w:t>10%</w:t>
            </w:r>
          </w:p>
        </w:tc>
      </w:tr>
      <w:tr w:rsidR="75D8A2EC" w:rsidRPr="007538F8" w14:paraId="26F42DB8" w14:textId="77777777" w:rsidTr="008472D2">
        <w:tc>
          <w:tcPr>
            <w:tcW w:w="3900" w:type="dxa"/>
          </w:tcPr>
          <w:p w14:paraId="63539646" w14:textId="486B4826" w:rsidR="75D8A2EC" w:rsidRPr="007538F8" w:rsidRDefault="008472D2" w:rsidP="00826588">
            <w:pPr>
              <w:rPr>
                <w:rFonts w:ascii="Open Sans" w:eastAsia="Calibri" w:hAnsi="Open Sans" w:cs="Open Sans"/>
                <w:lang w:val="en-GB"/>
              </w:rPr>
            </w:pPr>
            <w:r>
              <w:rPr>
                <w:rFonts w:ascii="Open Sans" w:eastAsia="Calibri" w:hAnsi="Open Sans" w:cs="Open Sans"/>
                <w:lang w:val="en-GB"/>
              </w:rPr>
              <w:t>Theory Problem Sets</w:t>
            </w:r>
          </w:p>
        </w:tc>
        <w:tc>
          <w:tcPr>
            <w:tcW w:w="2035" w:type="dxa"/>
          </w:tcPr>
          <w:p w14:paraId="67176A80" w14:textId="204788F0" w:rsidR="75D8A2EC" w:rsidRPr="007538F8" w:rsidRDefault="008472D2" w:rsidP="01DA6DB8">
            <w:pPr>
              <w:jc w:val="both"/>
              <w:rPr>
                <w:rFonts w:ascii="Open Sans" w:eastAsia="Calibri" w:hAnsi="Open Sans" w:cs="Open Sans"/>
                <w:lang w:val="en-CA"/>
              </w:rPr>
            </w:pPr>
            <w:r>
              <w:rPr>
                <w:rFonts w:ascii="Open Sans" w:eastAsia="Calibri" w:hAnsi="Open Sans" w:cs="Open Sans"/>
                <w:lang w:val="en-CA"/>
              </w:rPr>
              <w:t>10% (5% each)</w:t>
            </w:r>
          </w:p>
        </w:tc>
      </w:tr>
      <w:tr w:rsidR="75D8A2EC" w:rsidRPr="007538F8" w14:paraId="715EA4D8" w14:textId="77777777" w:rsidTr="008472D2">
        <w:tc>
          <w:tcPr>
            <w:tcW w:w="3900" w:type="dxa"/>
          </w:tcPr>
          <w:p w14:paraId="2F9CDF9A" w14:textId="4AE984AB" w:rsidR="75D8A2EC" w:rsidRPr="007538F8" w:rsidRDefault="008472D2" w:rsidP="00826588">
            <w:pPr>
              <w:rPr>
                <w:rFonts w:ascii="Open Sans" w:eastAsia="Calibri" w:hAnsi="Open Sans" w:cs="Open Sans"/>
                <w:lang w:val="en-GB"/>
              </w:rPr>
            </w:pPr>
            <w:r>
              <w:rPr>
                <w:rFonts w:ascii="Open Sans" w:eastAsia="Calibri" w:hAnsi="Open Sans" w:cs="Open Sans"/>
                <w:lang w:val="en-GB"/>
              </w:rPr>
              <w:t>Midterm Exam</w:t>
            </w:r>
          </w:p>
        </w:tc>
        <w:tc>
          <w:tcPr>
            <w:tcW w:w="2035" w:type="dxa"/>
          </w:tcPr>
          <w:p w14:paraId="022D80CC" w14:textId="6DA9AF14" w:rsidR="75D8A2EC" w:rsidRPr="007538F8" w:rsidRDefault="008472D2" w:rsidP="01DA6DB8">
            <w:pPr>
              <w:jc w:val="both"/>
              <w:rPr>
                <w:rFonts w:ascii="Open Sans" w:eastAsia="Calibri" w:hAnsi="Open Sans" w:cs="Open Sans"/>
                <w:lang w:val="en-CA"/>
              </w:rPr>
            </w:pPr>
            <w:r>
              <w:rPr>
                <w:rFonts w:ascii="Open Sans" w:eastAsia="Calibri" w:hAnsi="Open Sans" w:cs="Open Sans"/>
                <w:lang w:val="en-CA"/>
              </w:rPr>
              <w:t>20%</w:t>
            </w:r>
          </w:p>
        </w:tc>
      </w:tr>
      <w:tr w:rsidR="75D8A2EC" w:rsidRPr="007538F8" w14:paraId="70DC2D4F" w14:textId="77777777" w:rsidTr="008472D2">
        <w:trPr>
          <w:trHeight w:val="300"/>
        </w:trPr>
        <w:tc>
          <w:tcPr>
            <w:tcW w:w="3900" w:type="dxa"/>
          </w:tcPr>
          <w:p w14:paraId="2F06CB4F" w14:textId="08D6C2FE" w:rsidR="75D8A2EC" w:rsidRPr="007538F8" w:rsidRDefault="008472D2" w:rsidP="00826588">
            <w:pPr>
              <w:rPr>
                <w:rFonts w:ascii="Open Sans" w:eastAsia="Calibri" w:hAnsi="Open Sans" w:cs="Open Sans"/>
                <w:lang w:val="en-GB"/>
              </w:rPr>
            </w:pPr>
            <w:r>
              <w:rPr>
                <w:rFonts w:ascii="Open Sans" w:eastAsia="Calibri" w:hAnsi="Open Sans" w:cs="Open Sans"/>
                <w:lang w:val="en-GB"/>
              </w:rPr>
              <w:t>Final Exam</w:t>
            </w:r>
          </w:p>
        </w:tc>
        <w:tc>
          <w:tcPr>
            <w:tcW w:w="2035" w:type="dxa"/>
          </w:tcPr>
          <w:p w14:paraId="7F8787EA" w14:textId="32D3F861" w:rsidR="75D8A2EC" w:rsidRPr="007538F8" w:rsidRDefault="008472D2" w:rsidP="01DA6DB8">
            <w:pPr>
              <w:jc w:val="both"/>
              <w:rPr>
                <w:rFonts w:ascii="Open Sans" w:eastAsia="Calibri" w:hAnsi="Open Sans" w:cs="Open Sans"/>
                <w:lang w:val="en-CA"/>
              </w:rPr>
            </w:pPr>
            <w:r>
              <w:rPr>
                <w:rFonts w:ascii="Open Sans" w:eastAsia="Calibri" w:hAnsi="Open Sans" w:cs="Open Sans"/>
                <w:lang w:val="en-CA"/>
              </w:rPr>
              <w:t>30%</w:t>
            </w:r>
          </w:p>
        </w:tc>
      </w:tr>
      <w:tr w:rsidR="75D8A2EC" w:rsidRPr="007538F8" w14:paraId="39FA3471" w14:textId="77777777" w:rsidTr="008472D2">
        <w:tc>
          <w:tcPr>
            <w:tcW w:w="3900" w:type="dxa"/>
          </w:tcPr>
          <w:p w14:paraId="6EE90A52" w14:textId="6C1C5EA8" w:rsidR="75D8A2EC" w:rsidRPr="007538F8" w:rsidRDefault="75D8A2EC" w:rsidP="00826588">
            <w:pPr>
              <w:jc w:val="both"/>
              <w:rPr>
                <w:rFonts w:ascii="Open Sans" w:eastAsia="Calibri" w:hAnsi="Open Sans" w:cs="Open Sans"/>
              </w:rPr>
            </w:pPr>
            <w:r w:rsidRPr="007538F8">
              <w:rPr>
                <w:rFonts w:ascii="Open Sans" w:eastAsia="Calibri" w:hAnsi="Open Sans" w:cs="Open Sans"/>
                <w:lang w:val="en-GB"/>
              </w:rPr>
              <w:t>Total</w:t>
            </w:r>
          </w:p>
        </w:tc>
        <w:tc>
          <w:tcPr>
            <w:tcW w:w="2035" w:type="dxa"/>
          </w:tcPr>
          <w:p w14:paraId="29CB245B" w14:textId="1BBD6385" w:rsidR="75D8A2EC" w:rsidRPr="007538F8" w:rsidRDefault="75D8A2EC" w:rsidP="00826588">
            <w:pPr>
              <w:jc w:val="both"/>
              <w:rPr>
                <w:rFonts w:ascii="Open Sans" w:eastAsia="Calibri" w:hAnsi="Open Sans" w:cs="Open Sans"/>
              </w:rPr>
            </w:pPr>
            <w:r w:rsidRPr="007538F8">
              <w:rPr>
                <w:rFonts w:ascii="Open Sans" w:eastAsia="Calibri" w:hAnsi="Open Sans" w:cs="Open Sans"/>
                <w:lang w:val="en-GB"/>
              </w:rPr>
              <w:t>100%</w:t>
            </w:r>
          </w:p>
        </w:tc>
      </w:tr>
    </w:tbl>
    <w:p w14:paraId="08DF3D4E" w14:textId="48D63188" w:rsidR="01DA6DB8" w:rsidRPr="007538F8" w:rsidRDefault="01DA6DB8" w:rsidP="01DA6DB8">
      <w:pPr>
        <w:spacing w:after="120" w:line="240" w:lineRule="auto"/>
        <w:jc w:val="both"/>
        <w:rPr>
          <w:rFonts w:ascii="Open Sans" w:eastAsia="Calibri" w:hAnsi="Open Sans" w:cs="Open Sans"/>
          <w:b/>
          <w:bCs/>
          <w:color w:val="000000" w:themeColor="text1"/>
          <w:lang w:val="en-GB"/>
        </w:rPr>
      </w:pPr>
    </w:p>
    <w:p w14:paraId="4CC8A421" w14:textId="706E8073" w:rsidR="000365AB" w:rsidRPr="007538F8" w:rsidRDefault="000365AB" w:rsidP="000365AB">
      <w:pPr>
        <w:spacing w:after="120" w:line="240" w:lineRule="auto"/>
        <w:rPr>
          <w:rFonts w:ascii="Open Sans" w:eastAsia="Calibri" w:hAnsi="Open Sans" w:cs="Open Sans"/>
          <w:b/>
          <w:bCs/>
          <w:color w:val="000000" w:themeColor="text1"/>
          <w:lang w:val="en-GB"/>
        </w:rPr>
      </w:pPr>
      <w:r>
        <w:rPr>
          <w:rFonts w:ascii="Open Sans" w:eastAsia="Calibri" w:hAnsi="Open Sans" w:cs="Open Sans"/>
          <w:b/>
          <w:bCs/>
          <w:color w:val="000000" w:themeColor="text1"/>
          <w:lang w:val="en-GB"/>
        </w:rPr>
        <w:t>Assignments</w:t>
      </w:r>
    </w:p>
    <w:p w14:paraId="6682B247" w14:textId="408B40FD" w:rsidR="000365AB" w:rsidRDefault="000365AB" w:rsidP="000365AB">
      <w:pPr>
        <w:autoSpaceDE w:val="0"/>
        <w:autoSpaceDN w:val="0"/>
        <w:adjustRightInd w:val="0"/>
        <w:spacing w:after="0" w:line="240" w:lineRule="auto"/>
        <w:rPr>
          <w:rFonts w:ascii="Open Sans" w:hAnsi="Open Sans" w:cs="Open Sans"/>
          <w:color w:val="000000"/>
        </w:rPr>
      </w:pPr>
      <w:r w:rsidRPr="000365AB">
        <w:rPr>
          <w:rFonts w:ascii="Open Sans" w:hAnsi="Open Sans" w:cs="Open Sans"/>
          <w:color w:val="000000"/>
        </w:rPr>
        <w:t xml:space="preserve">The main assessments for this course are weekly lab assignments. Lab sections are intended to give students the opportunity to apply their geochemistry knowledge to real-world, applied problems in a range of geoscience disciplines. These activities will utilize Yukon examples and case studies wherever appropriate. Lab assignments will be due </w:t>
      </w:r>
      <w:r w:rsidRPr="000365AB">
        <w:rPr>
          <w:rFonts w:ascii="Open Sans" w:hAnsi="Open Sans" w:cs="Open Sans"/>
          <w:i/>
          <w:iCs/>
          <w:color w:val="000000"/>
        </w:rPr>
        <w:t xml:space="preserve">at the start of the next lab class </w:t>
      </w:r>
      <w:r w:rsidRPr="000365AB">
        <w:rPr>
          <w:rFonts w:ascii="Open Sans" w:hAnsi="Open Sans" w:cs="Open Sans"/>
          <w:color w:val="000000"/>
        </w:rPr>
        <w:t xml:space="preserve">unless otherwise indicated by the instructor. Successful completion of these lab assignments is critical for understanding and reinforcing course material. </w:t>
      </w:r>
      <w:r>
        <w:rPr>
          <w:rFonts w:ascii="Open Sans" w:hAnsi="Open Sans" w:cs="Open Sans"/>
          <w:color w:val="000000"/>
        </w:rPr>
        <w:t>Several of these lab assignments will be returned with feedback for incorporation into a final assay report.</w:t>
      </w:r>
    </w:p>
    <w:p w14:paraId="70AB96DB" w14:textId="77777777" w:rsidR="000365AB" w:rsidRPr="000365AB" w:rsidRDefault="000365AB" w:rsidP="000365AB">
      <w:pPr>
        <w:autoSpaceDE w:val="0"/>
        <w:autoSpaceDN w:val="0"/>
        <w:adjustRightInd w:val="0"/>
        <w:spacing w:after="0" w:line="240" w:lineRule="auto"/>
        <w:rPr>
          <w:rFonts w:ascii="Open Sans" w:hAnsi="Open Sans" w:cs="Open Sans"/>
          <w:color w:val="000000"/>
        </w:rPr>
      </w:pPr>
    </w:p>
    <w:p w14:paraId="3EFE2BC1" w14:textId="77777777" w:rsidR="000365AB" w:rsidRPr="000365AB" w:rsidRDefault="000365AB" w:rsidP="000365AB">
      <w:pPr>
        <w:autoSpaceDE w:val="0"/>
        <w:autoSpaceDN w:val="0"/>
        <w:adjustRightInd w:val="0"/>
        <w:spacing w:after="0" w:line="240" w:lineRule="auto"/>
        <w:rPr>
          <w:rFonts w:ascii="Open Sans" w:hAnsi="Open Sans" w:cs="Open Sans"/>
          <w:color w:val="000000"/>
        </w:rPr>
      </w:pPr>
      <w:r w:rsidRPr="000365AB">
        <w:rPr>
          <w:rFonts w:ascii="Open Sans" w:hAnsi="Open Sans" w:cs="Open Sans"/>
          <w:color w:val="000000"/>
        </w:rPr>
        <w:t xml:space="preserve">Two theory assignments will be assigned by the instructor during the course and focus on geochemical data analysis and calculations. These are intended to directly reinforce concepts covered in lecture. </w:t>
      </w:r>
    </w:p>
    <w:p w14:paraId="20B7FBBF" w14:textId="37E15C69" w:rsidR="000365AB" w:rsidRDefault="000365AB" w:rsidP="000365AB">
      <w:pPr>
        <w:spacing w:after="120" w:line="240" w:lineRule="auto"/>
        <w:rPr>
          <w:rFonts w:ascii="Open Sans" w:hAnsi="Open Sans" w:cs="Open Sans"/>
          <w:color w:val="000000"/>
        </w:rPr>
      </w:pPr>
      <w:r w:rsidRPr="000365AB">
        <w:rPr>
          <w:rFonts w:ascii="Open Sans" w:hAnsi="Open Sans" w:cs="Open Sans"/>
          <w:color w:val="000000"/>
        </w:rPr>
        <w:t>Late theory or laboratory assignments will be graded based on the following scheme: a deduction of 10% per business day up until a total deduction of 50% is reached. Following that, assignments will no longer be accepted and will receive a mark of zero.</w:t>
      </w:r>
    </w:p>
    <w:p w14:paraId="7B1C6AAC" w14:textId="77777777" w:rsidR="000365AB" w:rsidRDefault="000365AB" w:rsidP="000365AB">
      <w:pPr>
        <w:spacing w:after="120" w:line="240" w:lineRule="auto"/>
        <w:rPr>
          <w:rFonts w:ascii="Open Sans" w:eastAsia="Calibri" w:hAnsi="Open Sans" w:cs="Open Sans"/>
          <w:b/>
          <w:bCs/>
          <w:lang w:val="en-GB"/>
        </w:rPr>
      </w:pPr>
    </w:p>
    <w:p w14:paraId="35752C89" w14:textId="365CFD7B" w:rsidR="000365AB" w:rsidRPr="007538F8" w:rsidRDefault="000365AB" w:rsidP="000365AB">
      <w:pPr>
        <w:spacing w:after="120" w:line="240" w:lineRule="auto"/>
        <w:rPr>
          <w:rFonts w:ascii="Open Sans" w:eastAsia="Calibri" w:hAnsi="Open Sans" w:cs="Open Sans"/>
          <w:b/>
          <w:bCs/>
          <w:color w:val="000000" w:themeColor="text1"/>
          <w:lang w:val="en-GB"/>
        </w:rPr>
      </w:pPr>
      <w:r>
        <w:rPr>
          <w:rFonts w:ascii="Open Sans" w:eastAsia="Calibri" w:hAnsi="Open Sans" w:cs="Open Sans"/>
          <w:b/>
          <w:bCs/>
          <w:color w:val="000000" w:themeColor="text1"/>
          <w:lang w:val="en-GB"/>
        </w:rPr>
        <w:t>Exams</w:t>
      </w:r>
    </w:p>
    <w:p w14:paraId="4C4FED9B" w14:textId="77777777" w:rsidR="000365AB" w:rsidRDefault="000365AB" w:rsidP="000365AB">
      <w:pPr>
        <w:autoSpaceDE w:val="0"/>
        <w:autoSpaceDN w:val="0"/>
        <w:adjustRightInd w:val="0"/>
        <w:spacing w:after="0" w:line="240" w:lineRule="auto"/>
        <w:rPr>
          <w:rFonts w:ascii="Open Sans" w:hAnsi="Open Sans" w:cs="Open Sans"/>
          <w:color w:val="000000"/>
        </w:rPr>
      </w:pPr>
      <w:r w:rsidRPr="000365AB">
        <w:rPr>
          <w:rFonts w:ascii="Open Sans" w:hAnsi="Open Sans" w:cs="Open Sans"/>
          <w:color w:val="000000"/>
        </w:rPr>
        <w:t xml:space="preserve">There will be two lecture exams in this course: a midterm lecture exam delivered during class time approximately halfway through the course, and a final lecture exam administered during the final exam period. </w:t>
      </w:r>
    </w:p>
    <w:p w14:paraId="23595741" w14:textId="315B3BD6" w:rsidR="000365AB" w:rsidRPr="000365AB" w:rsidRDefault="000365AB" w:rsidP="000365AB">
      <w:pPr>
        <w:autoSpaceDE w:val="0"/>
        <w:autoSpaceDN w:val="0"/>
        <w:adjustRightInd w:val="0"/>
        <w:spacing w:after="0" w:line="240" w:lineRule="auto"/>
        <w:rPr>
          <w:rFonts w:ascii="Open Sans" w:hAnsi="Open Sans" w:cs="Open Sans"/>
          <w:color w:val="000000"/>
        </w:rPr>
      </w:pPr>
      <w:r>
        <w:rPr>
          <w:rFonts w:ascii="Open Sans" w:hAnsi="Open Sans" w:cs="Open Sans"/>
          <w:color w:val="000000"/>
        </w:rPr>
        <w:br/>
      </w:r>
      <w:r w:rsidRPr="000365AB">
        <w:rPr>
          <w:rFonts w:ascii="Open Sans" w:hAnsi="Open Sans" w:cs="Open Sans"/>
          <w:color w:val="000000"/>
        </w:rPr>
        <w:t>Competencies in hands-on lab work will be assessed throughout the course and are not targeted during a formal lab exam.</w:t>
      </w:r>
    </w:p>
    <w:p w14:paraId="42032048" w14:textId="77777777" w:rsidR="000365AB" w:rsidRDefault="000365AB" w:rsidP="01DA6DB8">
      <w:pPr>
        <w:spacing w:after="120" w:line="240" w:lineRule="auto"/>
        <w:rPr>
          <w:rFonts w:ascii="Open Sans" w:eastAsia="Calibri" w:hAnsi="Open Sans" w:cs="Open Sans"/>
          <w:b/>
          <w:bCs/>
          <w:lang w:val="en-GB"/>
        </w:rPr>
      </w:pPr>
    </w:p>
    <w:p w14:paraId="66A68923" w14:textId="14134322" w:rsidR="41776F4C" w:rsidRPr="007538F8" w:rsidRDefault="41776F4C" w:rsidP="01DA6DB8">
      <w:pPr>
        <w:spacing w:after="120" w:line="240" w:lineRule="auto"/>
        <w:rPr>
          <w:rFonts w:ascii="Open Sans" w:eastAsia="Calibri" w:hAnsi="Open Sans" w:cs="Open Sans"/>
          <w:b/>
          <w:bCs/>
          <w:lang w:val="en-GB"/>
        </w:rPr>
      </w:pPr>
      <w:r w:rsidRPr="007538F8">
        <w:rPr>
          <w:rFonts w:ascii="Open Sans" w:eastAsia="Calibri" w:hAnsi="Open Sans" w:cs="Open Sans"/>
          <w:b/>
          <w:bCs/>
          <w:lang w:val="en-GB"/>
        </w:rPr>
        <w:t>C</w:t>
      </w:r>
      <w:r w:rsidR="569976D5" w:rsidRPr="007538F8">
        <w:rPr>
          <w:rFonts w:ascii="Open Sans" w:eastAsia="Calibri" w:hAnsi="Open Sans" w:cs="Open Sans"/>
          <w:b/>
          <w:bCs/>
          <w:lang w:val="en-GB"/>
        </w:rPr>
        <w:t>OURSE WITHDRAWAL INFORMATION</w:t>
      </w:r>
    </w:p>
    <w:p w14:paraId="48248CE5" w14:textId="28751DD1" w:rsidR="41776F4C" w:rsidRPr="007538F8" w:rsidRDefault="41776F4C" w:rsidP="01495057">
      <w:pPr>
        <w:spacing w:after="120" w:line="240" w:lineRule="auto"/>
        <w:rPr>
          <w:rFonts w:ascii="Open Sans" w:eastAsia="Calibri" w:hAnsi="Open Sans" w:cs="Open Sans"/>
          <w:i/>
          <w:iCs/>
          <w:color w:val="FF0000"/>
          <w:lang w:val="en-GB"/>
        </w:rPr>
      </w:pPr>
      <w:r w:rsidRPr="007538F8">
        <w:rPr>
          <w:rFonts w:ascii="Open Sans" w:eastAsia="Calibri" w:hAnsi="Open Sans" w:cs="Open Sans"/>
          <w:lang w:val="en-GB"/>
        </w:rPr>
        <w:t xml:space="preserve">Refer to the </w:t>
      </w:r>
      <w:r w:rsidR="2DA5F718" w:rsidRPr="007538F8">
        <w:rPr>
          <w:rFonts w:ascii="Open Sans" w:eastAsia="Calibri" w:hAnsi="Open Sans" w:cs="Open Sans"/>
          <w:lang w:val="en-GB"/>
        </w:rPr>
        <w:t xml:space="preserve">YukonU </w:t>
      </w:r>
      <w:r w:rsidRPr="007538F8">
        <w:rPr>
          <w:rFonts w:ascii="Open Sans" w:eastAsia="Calibri" w:hAnsi="Open Sans" w:cs="Open Sans"/>
          <w:lang w:val="en-GB"/>
        </w:rPr>
        <w:t>website for important dates</w:t>
      </w:r>
      <w:r w:rsidR="1355555E" w:rsidRPr="007538F8">
        <w:rPr>
          <w:rFonts w:ascii="Open Sans" w:eastAsia="Calibri" w:hAnsi="Open Sans" w:cs="Open Sans"/>
          <w:lang w:val="en-GB"/>
        </w:rPr>
        <w:t>.</w:t>
      </w:r>
    </w:p>
    <w:p w14:paraId="11784B2F" w14:textId="57429BF5" w:rsidR="01DA6DB8" w:rsidRPr="007538F8" w:rsidRDefault="01DA6DB8" w:rsidP="01DA6DB8">
      <w:pPr>
        <w:spacing w:after="120" w:line="240" w:lineRule="auto"/>
        <w:rPr>
          <w:rFonts w:ascii="Open Sans" w:eastAsia="Calibri" w:hAnsi="Open Sans" w:cs="Open Sans"/>
          <w:b/>
          <w:bCs/>
          <w:color w:val="000000" w:themeColor="text1"/>
          <w:lang w:val="en-GB"/>
        </w:rPr>
      </w:pPr>
    </w:p>
    <w:p w14:paraId="6B092B8C" w14:textId="77777777" w:rsidR="000365AB" w:rsidRDefault="000365AB">
      <w:pPr>
        <w:rPr>
          <w:rFonts w:ascii="Open Sans" w:eastAsia="Calibri" w:hAnsi="Open Sans" w:cs="Open Sans"/>
          <w:b/>
          <w:bCs/>
          <w:color w:val="000000" w:themeColor="text1"/>
          <w:lang w:val="en-GB"/>
        </w:rPr>
      </w:pPr>
      <w:r>
        <w:rPr>
          <w:rFonts w:ascii="Open Sans" w:eastAsia="Calibri" w:hAnsi="Open Sans" w:cs="Open Sans"/>
          <w:b/>
          <w:bCs/>
          <w:color w:val="000000" w:themeColor="text1"/>
          <w:lang w:val="en-GB"/>
        </w:rPr>
        <w:br w:type="page"/>
      </w:r>
    </w:p>
    <w:p w14:paraId="0F6B8880" w14:textId="20FB7D78" w:rsidR="11285ED9" w:rsidRPr="007538F8" w:rsidRDefault="34DFDFFE" w:rsidP="01DA6DB8">
      <w:pPr>
        <w:spacing w:after="120" w:line="240" w:lineRule="auto"/>
        <w:rPr>
          <w:rFonts w:ascii="Open Sans" w:eastAsia="Calibri" w:hAnsi="Open Sans" w:cs="Open Sans"/>
          <w:b/>
          <w:bCs/>
          <w:color w:val="000000" w:themeColor="text1"/>
          <w:lang w:val="en-GB"/>
        </w:rPr>
      </w:pPr>
      <w:r w:rsidRPr="007538F8">
        <w:rPr>
          <w:rFonts w:ascii="Open Sans" w:eastAsia="Calibri" w:hAnsi="Open Sans" w:cs="Open Sans"/>
          <w:b/>
          <w:bCs/>
          <w:color w:val="000000" w:themeColor="text1"/>
          <w:lang w:val="en-GB"/>
        </w:rPr>
        <w:lastRenderedPageBreak/>
        <w:t>TEXTBOOKS &amp; LEARNING MATERIALS</w:t>
      </w:r>
    </w:p>
    <w:p w14:paraId="2BADE4DF" w14:textId="77777777" w:rsidR="000365AB" w:rsidRPr="000365AB" w:rsidRDefault="000365AB" w:rsidP="000365AB">
      <w:pPr>
        <w:autoSpaceDE w:val="0"/>
        <w:autoSpaceDN w:val="0"/>
        <w:adjustRightInd w:val="0"/>
        <w:spacing w:after="0" w:line="240" w:lineRule="auto"/>
        <w:rPr>
          <w:rFonts w:ascii="Open Sans" w:hAnsi="Open Sans" w:cs="Open Sans"/>
          <w:color w:val="000000"/>
        </w:rPr>
      </w:pPr>
      <w:r w:rsidRPr="000365AB">
        <w:rPr>
          <w:rFonts w:ascii="Open Sans" w:hAnsi="Open Sans" w:cs="Open Sans"/>
          <w:color w:val="000000"/>
        </w:rPr>
        <w:t xml:space="preserve">There is one required textbook for this course, as well as supplementary textbooks that will be utilized on a limited basis throughout the course. All texts are available on reserve at the Yukon University Library. </w:t>
      </w:r>
    </w:p>
    <w:p w14:paraId="65AF48BA" w14:textId="77777777" w:rsidR="000365AB" w:rsidRDefault="000365AB" w:rsidP="000365AB">
      <w:pPr>
        <w:autoSpaceDE w:val="0"/>
        <w:autoSpaceDN w:val="0"/>
        <w:adjustRightInd w:val="0"/>
        <w:spacing w:after="0" w:line="240" w:lineRule="auto"/>
        <w:rPr>
          <w:rFonts w:ascii="Open Sans" w:hAnsi="Open Sans" w:cs="Open Sans"/>
          <w:i/>
          <w:iCs/>
          <w:color w:val="000000"/>
        </w:rPr>
      </w:pPr>
    </w:p>
    <w:p w14:paraId="49320213" w14:textId="59D89A96" w:rsidR="000365AB" w:rsidRPr="000365AB" w:rsidRDefault="000365AB" w:rsidP="000365AB">
      <w:pPr>
        <w:autoSpaceDE w:val="0"/>
        <w:autoSpaceDN w:val="0"/>
        <w:adjustRightInd w:val="0"/>
        <w:spacing w:after="0" w:line="240" w:lineRule="auto"/>
        <w:rPr>
          <w:rFonts w:ascii="Open Sans" w:hAnsi="Open Sans" w:cs="Open Sans"/>
          <w:color w:val="000000"/>
        </w:rPr>
      </w:pPr>
      <w:r w:rsidRPr="000365AB">
        <w:rPr>
          <w:rFonts w:ascii="Open Sans" w:hAnsi="Open Sans" w:cs="Open Sans"/>
          <w:i/>
          <w:iCs/>
          <w:color w:val="000000"/>
        </w:rPr>
        <w:t xml:space="preserve">Required </w:t>
      </w:r>
      <w:proofErr w:type="gramStart"/>
      <w:r w:rsidRPr="000365AB">
        <w:rPr>
          <w:rFonts w:ascii="Open Sans" w:hAnsi="Open Sans" w:cs="Open Sans"/>
          <w:i/>
          <w:iCs/>
          <w:color w:val="000000"/>
        </w:rPr>
        <w:t>textbook</w:t>
      </w:r>
      <w:proofErr w:type="gramEnd"/>
      <w:r w:rsidRPr="000365AB">
        <w:rPr>
          <w:rFonts w:ascii="Open Sans" w:hAnsi="Open Sans" w:cs="Open Sans"/>
          <w:i/>
          <w:iCs/>
          <w:color w:val="000000"/>
        </w:rPr>
        <w:t xml:space="preserve"> </w:t>
      </w:r>
    </w:p>
    <w:p w14:paraId="1E865C2F" w14:textId="77777777" w:rsidR="000365AB" w:rsidRPr="000365AB" w:rsidRDefault="000365AB" w:rsidP="000365AB">
      <w:pPr>
        <w:autoSpaceDE w:val="0"/>
        <w:autoSpaceDN w:val="0"/>
        <w:adjustRightInd w:val="0"/>
        <w:spacing w:after="0" w:line="240" w:lineRule="auto"/>
        <w:rPr>
          <w:rFonts w:ascii="Open Sans" w:hAnsi="Open Sans" w:cs="Open Sans"/>
          <w:color w:val="000000"/>
        </w:rPr>
      </w:pPr>
      <w:proofErr w:type="spellStart"/>
      <w:r w:rsidRPr="000365AB">
        <w:rPr>
          <w:rFonts w:ascii="Open Sans" w:hAnsi="Open Sans" w:cs="Open Sans"/>
          <w:color w:val="000000"/>
        </w:rPr>
        <w:t>Albarède</w:t>
      </w:r>
      <w:proofErr w:type="spellEnd"/>
      <w:r w:rsidRPr="000365AB">
        <w:rPr>
          <w:rFonts w:ascii="Open Sans" w:hAnsi="Open Sans" w:cs="Open Sans"/>
          <w:color w:val="000000"/>
        </w:rPr>
        <w:t xml:space="preserve">, F. 2009. Geochemistry: an introduction. 2nd ed. Cambridge, UK: Cambridge University Press. 355 p. </w:t>
      </w:r>
    </w:p>
    <w:p w14:paraId="7E97C31C" w14:textId="77777777" w:rsidR="000365AB" w:rsidRDefault="000365AB" w:rsidP="000365AB">
      <w:pPr>
        <w:autoSpaceDE w:val="0"/>
        <w:autoSpaceDN w:val="0"/>
        <w:adjustRightInd w:val="0"/>
        <w:spacing w:after="0" w:line="240" w:lineRule="auto"/>
        <w:rPr>
          <w:rFonts w:ascii="Open Sans" w:hAnsi="Open Sans" w:cs="Open Sans"/>
          <w:i/>
          <w:iCs/>
          <w:color w:val="000000"/>
        </w:rPr>
      </w:pPr>
    </w:p>
    <w:p w14:paraId="238B4347" w14:textId="1085F86A" w:rsidR="000365AB" w:rsidRPr="000365AB" w:rsidRDefault="000365AB" w:rsidP="000365AB">
      <w:pPr>
        <w:autoSpaceDE w:val="0"/>
        <w:autoSpaceDN w:val="0"/>
        <w:adjustRightInd w:val="0"/>
        <w:spacing w:after="0" w:line="240" w:lineRule="auto"/>
        <w:rPr>
          <w:rFonts w:ascii="Open Sans" w:hAnsi="Open Sans" w:cs="Open Sans"/>
          <w:color w:val="000000"/>
        </w:rPr>
      </w:pPr>
      <w:r w:rsidRPr="000365AB">
        <w:rPr>
          <w:rFonts w:ascii="Open Sans" w:hAnsi="Open Sans" w:cs="Open Sans"/>
          <w:i/>
          <w:iCs/>
          <w:color w:val="000000"/>
        </w:rPr>
        <w:t xml:space="preserve">Supplementary textbooks </w:t>
      </w:r>
    </w:p>
    <w:p w14:paraId="30A0CA38" w14:textId="77777777" w:rsidR="000365AB" w:rsidRPr="000365AB" w:rsidRDefault="000365AB" w:rsidP="000365AB">
      <w:pPr>
        <w:autoSpaceDE w:val="0"/>
        <w:autoSpaceDN w:val="0"/>
        <w:adjustRightInd w:val="0"/>
        <w:spacing w:after="0" w:line="240" w:lineRule="auto"/>
        <w:rPr>
          <w:rFonts w:ascii="Open Sans" w:hAnsi="Open Sans" w:cs="Open Sans"/>
          <w:color w:val="000000"/>
        </w:rPr>
      </w:pPr>
      <w:r w:rsidRPr="000365AB">
        <w:rPr>
          <w:rFonts w:ascii="Open Sans" w:hAnsi="Open Sans" w:cs="Open Sans"/>
          <w:color w:val="000000"/>
        </w:rPr>
        <w:t xml:space="preserve">Faure, G. 1998. Principles and applications of geochemistry. 2nd ed. Upper Saddle River, NJ: Prentice Hall, Inc. 600 p. </w:t>
      </w:r>
    </w:p>
    <w:p w14:paraId="237A8E80" w14:textId="1F2509C0" w:rsidR="000365AB" w:rsidRPr="000365AB" w:rsidRDefault="000365AB" w:rsidP="000365AB">
      <w:pPr>
        <w:autoSpaceDE w:val="0"/>
        <w:autoSpaceDN w:val="0"/>
        <w:adjustRightInd w:val="0"/>
        <w:spacing w:after="0" w:line="240" w:lineRule="auto"/>
        <w:rPr>
          <w:rFonts w:ascii="Open Sans" w:hAnsi="Open Sans" w:cs="Open Sans"/>
          <w:color w:val="000000"/>
        </w:rPr>
      </w:pPr>
      <w:r>
        <w:rPr>
          <w:rFonts w:ascii="Open Sans" w:hAnsi="Open Sans" w:cs="Open Sans"/>
          <w:color w:val="000000"/>
        </w:rPr>
        <w:br/>
      </w:r>
      <w:r w:rsidRPr="000365AB">
        <w:rPr>
          <w:rFonts w:ascii="Open Sans" w:hAnsi="Open Sans" w:cs="Open Sans"/>
          <w:color w:val="000000"/>
        </w:rPr>
        <w:t xml:space="preserve">Rollinson, H.R., and Pease, V. 2021. Using geochemical data: evaluation, presentation, interpretation. Cambridge, UK: Cambridge University Press. 346 p. </w:t>
      </w:r>
    </w:p>
    <w:p w14:paraId="4AA62417" w14:textId="6AF3D8E6" w:rsidR="11285ED9" w:rsidRPr="007538F8" w:rsidRDefault="000365AB" w:rsidP="000365AB">
      <w:pPr>
        <w:spacing w:after="120" w:line="240" w:lineRule="auto"/>
        <w:rPr>
          <w:rFonts w:ascii="Open Sans" w:eastAsia="Calibri" w:hAnsi="Open Sans" w:cs="Open Sans"/>
          <w:b/>
          <w:bCs/>
          <w:color w:val="000000" w:themeColor="text1"/>
          <w:lang w:val="en-GB"/>
        </w:rPr>
      </w:pPr>
      <w:r>
        <w:rPr>
          <w:rFonts w:ascii="Open Sans" w:hAnsi="Open Sans" w:cs="Open Sans"/>
          <w:color w:val="000000"/>
        </w:rPr>
        <w:br/>
      </w:r>
      <w:r w:rsidRPr="000365AB">
        <w:rPr>
          <w:rFonts w:ascii="Open Sans" w:hAnsi="Open Sans" w:cs="Open Sans"/>
          <w:color w:val="000000"/>
        </w:rPr>
        <w:t>White, W.M. 2013. Geochemistry. New Jersey: Wiley-Blackwell. 668 p.</w:t>
      </w:r>
    </w:p>
    <w:p w14:paraId="2BD6FBA4" w14:textId="77777777" w:rsidR="000365AB" w:rsidRDefault="000365AB" w:rsidP="01DA6DB8">
      <w:pPr>
        <w:spacing w:after="120" w:line="240" w:lineRule="auto"/>
        <w:rPr>
          <w:rFonts w:ascii="Open Sans" w:eastAsia="Calibri" w:hAnsi="Open Sans" w:cs="Open Sans"/>
          <w:b/>
          <w:bCs/>
          <w:color w:val="000000" w:themeColor="text1"/>
          <w:lang w:val="en-GB"/>
        </w:rPr>
      </w:pPr>
    </w:p>
    <w:p w14:paraId="4C3E859B" w14:textId="27D4DAB4" w:rsidR="11285ED9" w:rsidRPr="007538F8" w:rsidRDefault="11285ED9" w:rsidP="01DA6DB8">
      <w:pPr>
        <w:spacing w:after="120" w:line="240" w:lineRule="auto"/>
        <w:rPr>
          <w:rFonts w:ascii="Open Sans" w:eastAsia="Calibri" w:hAnsi="Open Sans" w:cs="Open Sans"/>
          <w:b/>
          <w:bCs/>
          <w:color w:val="000000" w:themeColor="text1"/>
          <w:lang w:val="en-GB"/>
        </w:rPr>
      </w:pPr>
      <w:r w:rsidRPr="007538F8">
        <w:rPr>
          <w:rFonts w:ascii="Open Sans" w:eastAsia="Calibri" w:hAnsi="Open Sans" w:cs="Open Sans"/>
          <w:b/>
          <w:bCs/>
          <w:color w:val="000000" w:themeColor="text1"/>
          <w:lang w:val="en-GB"/>
        </w:rPr>
        <w:t xml:space="preserve">ACADEMIC INTEGRITY </w:t>
      </w:r>
    </w:p>
    <w:p w14:paraId="49C3969A" w14:textId="55FD6F12" w:rsidR="11285ED9" w:rsidRPr="007538F8" w:rsidRDefault="11285ED9" w:rsidP="01DA6DB8">
      <w:pPr>
        <w:spacing w:after="120" w:line="240" w:lineRule="auto"/>
        <w:rPr>
          <w:rFonts w:ascii="Open Sans" w:eastAsiaTheme="minorEastAsia" w:hAnsi="Open Sans" w:cs="Open Sans"/>
          <w:color w:val="000000" w:themeColor="text1"/>
        </w:rPr>
      </w:pPr>
      <w:r w:rsidRPr="007538F8">
        <w:rPr>
          <w:rFonts w:ascii="Open Sans" w:eastAsia="Calibri" w:hAnsi="Open Sans" w:cs="Open Sans"/>
          <w:color w:val="000000" w:themeColor="text1"/>
        </w:rPr>
        <w:t xml:space="preserve">Students are expected to contribute toward a positive and supportive environment and are required to conduct themselves in a responsible manner. </w:t>
      </w:r>
      <w:r w:rsidR="524EF0E4" w:rsidRPr="007538F8">
        <w:rPr>
          <w:rFonts w:ascii="Open Sans" w:eastAsia="Calibri" w:hAnsi="Open Sans" w:cs="Open Sans"/>
          <w:color w:val="000000" w:themeColor="text1"/>
        </w:rPr>
        <w:t>A</w:t>
      </w:r>
      <w:r w:rsidRPr="007538F8">
        <w:rPr>
          <w:rFonts w:ascii="Open Sans" w:eastAsia="Calibri" w:hAnsi="Open Sans" w:cs="Open Sans"/>
          <w:color w:val="000000" w:themeColor="text1"/>
        </w:rPr>
        <w:t>cademic misconduct</w:t>
      </w:r>
      <w:r w:rsidR="462C45E7" w:rsidRPr="007538F8">
        <w:rPr>
          <w:rFonts w:ascii="Open Sans" w:eastAsia="Calibri" w:hAnsi="Open Sans" w:cs="Open Sans"/>
          <w:color w:val="000000" w:themeColor="text1"/>
        </w:rPr>
        <w:t xml:space="preserve"> </w:t>
      </w:r>
      <w:r w:rsidR="6BF9BD5B" w:rsidRPr="007538F8">
        <w:rPr>
          <w:rFonts w:ascii="Open Sans" w:eastAsia="Calibri" w:hAnsi="Open Sans" w:cs="Open Sans"/>
          <w:color w:val="000000" w:themeColor="text1"/>
        </w:rPr>
        <w:t>includes a</w:t>
      </w:r>
      <w:r w:rsidRPr="007538F8">
        <w:rPr>
          <w:rFonts w:ascii="Open Sans" w:eastAsia="Calibri" w:hAnsi="Open Sans" w:cs="Open Sans"/>
          <w:color w:val="000000" w:themeColor="text1"/>
        </w:rPr>
        <w:t xml:space="preserve">ll forms of academic dishonesty </w:t>
      </w:r>
      <w:r w:rsidR="4E237CBD" w:rsidRPr="007538F8">
        <w:rPr>
          <w:rFonts w:ascii="Open Sans" w:eastAsia="Calibri" w:hAnsi="Open Sans" w:cs="Open Sans"/>
          <w:color w:val="000000" w:themeColor="text1"/>
        </w:rPr>
        <w:t>such as</w:t>
      </w:r>
      <w:r w:rsidRPr="007538F8">
        <w:rPr>
          <w:rFonts w:ascii="Open Sans" w:eastAsia="Calibri" w:hAnsi="Open Sans" w:cs="Open Sans"/>
          <w:color w:val="000000" w:themeColor="text1"/>
        </w:rPr>
        <w:t xml:space="preserve"> cheating, plagiarism, fabrication, fraud, deceit,</w:t>
      </w:r>
      <w:r w:rsidR="5B736856" w:rsidRPr="007538F8">
        <w:rPr>
          <w:rFonts w:ascii="Open Sans" w:eastAsia="Calibri" w:hAnsi="Open Sans" w:cs="Open Sans"/>
          <w:color w:val="000000" w:themeColor="text1"/>
        </w:rPr>
        <w:t xml:space="preserve"> </w:t>
      </w:r>
      <w:r w:rsidRPr="007538F8">
        <w:rPr>
          <w:rFonts w:ascii="Open Sans" w:eastAsia="Calibri" w:hAnsi="Open Sans" w:cs="Open Sans"/>
          <w:color w:val="000000" w:themeColor="text1"/>
        </w:rPr>
        <w:t>using the work of others without their permission, aiding other students in committing academic offences, misrepresenting academic assignments prepared by others as one’s own, or any other forms of academic dishonesty including falsification of any information on any Yukon University document.</w:t>
      </w:r>
    </w:p>
    <w:p w14:paraId="6590C6E6" w14:textId="75D4EF63" w:rsidR="052DFE25" w:rsidRPr="007538F8" w:rsidRDefault="052DFE25" w:rsidP="01DA6DB8">
      <w:pPr>
        <w:spacing w:after="120" w:line="240" w:lineRule="auto"/>
        <w:rPr>
          <w:rFonts w:ascii="Open Sans" w:eastAsia="Calibri" w:hAnsi="Open Sans" w:cs="Open Sans"/>
          <w:color w:val="000000" w:themeColor="text1"/>
          <w:lang w:val="en-GB"/>
        </w:rPr>
      </w:pPr>
      <w:r w:rsidRPr="007538F8">
        <w:rPr>
          <w:rFonts w:ascii="Open Sans" w:eastAsia="Calibri" w:hAnsi="Open Sans" w:cs="Open Sans"/>
          <w:color w:val="000000" w:themeColor="text1"/>
        </w:rPr>
        <w:t>Please refer to Academic Regulations &amp; Procedures for further details</w:t>
      </w:r>
      <w:r w:rsidR="18DD780B" w:rsidRPr="007538F8">
        <w:rPr>
          <w:rFonts w:ascii="Open Sans" w:eastAsia="Calibri" w:hAnsi="Open Sans" w:cs="Open Sans"/>
          <w:color w:val="000000" w:themeColor="text1"/>
        </w:rPr>
        <w:t xml:space="preserve"> about </w:t>
      </w:r>
      <w:r w:rsidR="18DD780B" w:rsidRPr="007538F8">
        <w:rPr>
          <w:rFonts w:ascii="Open Sans" w:eastAsia="Calibri" w:hAnsi="Open Sans" w:cs="Open Sans"/>
          <w:color w:val="000000" w:themeColor="text1"/>
          <w:lang w:val="en-GB"/>
        </w:rPr>
        <w:t>academic standing and student rights and responsibilities</w:t>
      </w:r>
      <w:r w:rsidRPr="007538F8">
        <w:rPr>
          <w:rFonts w:ascii="Open Sans" w:eastAsia="Calibri" w:hAnsi="Open Sans" w:cs="Open Sans"/>
          <w:color w:val="000000" w:themeColor="text1"/>
        </w:rPr>
        <w:t>.</w:t>
      </w:r>
      <w:r w:rsidRPr="007538F8">
        <w:rPr>
          <w:rFonts w:ascii="Open Sans" w:eastAsia="Calibri" w:hAnsi="Open Sans" w:cs="Open Sans"/>
          <w:color w:val="000000" w:themeColor="text1"/>
          <w:lang w:val="en-GB"/>
        </w:rPr>
        <w:t xml:space="preserve"> </w:t>
      </w:r>
    </w:p>
    <w:p w14:paraId="053D8F8F" w14:textId="651C2E6E" w:rsidR="01DA6DB8" w:rsidRPr="007538F8" w:rsidRDefault="01DA6DB8" w:rsidP="01DA6DB8">
      <w:pPr>
        <w:spacing w:after="120" w:line="240" w:lineRule="auto"/>
        <w:jc w:val="both"/>
        <w:rPr>
          <w:rFonts w:ascii="Open Sans" w:eastAsia="Calibri" w:hAnsi="Open Sans" w:cs="Open Sans"/>
          <w:b/>
          <w:bCs/>
          <w:color w:val="000000" w:themeColor="text1"/>
        </w:rPr>
      </w:pPr>
    </w:p>
    <w:p w14:paraId="393654CD" w14:textId="77777777" w:rsidR="007538F8" w:rsidRPr="007538F8" w:rsidRDefault="007538F8" w:rsidP="007538F8">
      <w:pPr>
        <w:spacing w:after="120" w:line="240" w:lineRule="auto"/>
        <w:jc w:val="both"/>
        <w:rPr>
          <w:rFonts w:ascii="Open Sans" w:eastAsia="Calibri" w:hAnsi="Open Sans" w:cs="Open Sans"/>
          <w:b/>
          <w:bCs/>
          <w:color w:val="000000" w:themeColor="text1"/>
        </w:rPr>
      </w:pPr>
      <w:r w:rsidRPr="007538F8">
        <w:rPr>
          <w:rFonts w:ascii="Open Sans" w:eastAsia="Calibri" w:hAnsi="Open Sans" w:cs="Open Sans"/>
          <w:b/>
          <w:bCs/>
          <w:color w:val="000000" w:themeColor="text1"/>
        </w:rPr>
        <w:t>ACCESSIBILITY AND ACADEMIC ACCOMMODATION</w:t>
      </w:r>
    </w:p>
    <w:p w14:paraId="74601D80" w14:textId="77777777" w:rsidR="007538F8" w:rsidRPr="007538F8" w:rsidRDefault="007538F8" w:rsidP="007538F8">
      <w:pPr>
        <w:spacing w:after="120" w:line="240" w:lineRule="auto"/>
        <w:jc w:val="both"/>
        <w:rPr>
          <w:rFonts w:ascii="Open Sans" w:eastAsia="Calibri" w:hAnsi="Open Sans" w:cs="Open Sans"/>
          <w:color w:val="000000" w:themeColor="text1"/>
          <w:u w:val="single"/>
        </w:rPr>
      </w:pPr>
      <w:bookmarkStart w:id="0" w:name="_Hlk98238548"/>
      <w:r w:rsidRPr="007538F8">
        <w:rPr>
          <w:rFonts w:ascii="Open Sans" w:eastAsia="Calibri" w:hAnsi="Open Sans" w:cs="Open Sans"/>
          <w:color w:val="000000" w:themeColor="text1"/>
        </w:rPr>
        <w:t xml:space="preserve">Yukon University is committed to providing a positive, supportive, and barrier-free academic environment for all its students.  Students experiencing barriers to full participation due to a visible or hidden disability (including </w:t>
      </w:r>
      <w:bookmarkStart w:id="1" w:name="_Hlk99965539"/>
      <w:r w:rsidRPr="007538F8">
        <w:rPr>
          <w:rFonts w:ascii="Open Sans" w:eastAsia="Calibri" w:hAnsi="Open Sans" w:cs="Open Sans"/>
          <w:color w:val="000000" w:themeColor="text1"/>
        </w:rPr>
        <w:t>hearing, vision, mobility</w:t>
      </w:r>
      <w:bookmarkEnd w:id="1"/>
      <w:r w:rsidRPr="007538F8">
        <w:rPr>
          <w:rFonts w:ascii="Open Sans" w:eastAsia="Calibri" w:hAnsi="Open Sans" w:cs="Open Sans"/>
          <w:color w:val="000000" w:themeColor="text1"/>
        </w:rPr>
        <w:t xml:space="preserve">, learning disability, mental health, chronic or temporary medical condition), should contact </w:t>
      </w:r>
      <w:hyperlink r:id="rId14" w:history="1">
        <w:r w:rsidRPr="007538F8">
          <w:rPr>
            <w:rStyle w:val="Hyperlink"/>
            <w:rFonts w:ascii="Open Sans" w:eastAsia="Calibri" w:hAnsi="Open Sans" w:cs="Open Sans"/>
          </w:rPr>
          <w:t>Accessibility Services</w:t>
        </w:r>
      </w:hyperlink>
      <w:r w:rsidRPr="007538F8">
        <w:rPr>
          <w:rFonts w:ascii="Open Sans" w:eastAsia="Calibri" w:hAnsi="Open Sans" w:cs="Open Sans"/>
          <w:color w:val="000000" w:themeColor="text1"/>
        </w:rPr>
        <w:t xml:space="preserve"> for resources or to arrange academic accommodations: </w:t>
      </w:r>
      <w:bookmarkEnd w:id="0"/>
      <w:r w:rsidRPr="007538F8">
        <w:rPr>
          <w:rFonts w:ascii="Open Sans" w:eastAsia="Calibri" w:hAnsi="Open Sans" w:cs="Open Sans"/>
          <w:color w:val="000000" w:themeColor="text1"/>
          <w:u w:val="single"/>
        </w:rPr>
        <w:t>access@yukonu.ca.</w:t>
      </w:r>
    </w:p>
    <w:p w14:paraId="34849D71" w14:textId="31CC059D" w:rsidR="01DA6DB8" w:rsidRPr="007538F8" w:rsidRDefault="01DA6DB8" w:rsidP="01DA6DB8">
      <w:pPr>
        <w:spacing w:after="120" w:line="240" w:lineRule="auto"/>
        <w:jc w:val="both"/>
        <w:rPr>
          <w:rFonts w:ascii="Open Sans" w:eastAsia="Calibri" w:hAnsi="Open Sans" w:cs="Open Sans"/>
          <w:b/>
          <w:bCs/>
          <w:color w:val="000000" w:themeColor="text1"/>
          <w:lang w:val="en-GB"/>
        </w:rPr>
      </w:pPr>
    </w:p>
    <w:p w14:paraId="213F667B" w14:textId="77777777" w:rsidR="000365AB" w:rsidRDefault="000365AB">
      <w:pPr>
        <w:rPr>
          <w:rFonts w:ascii="Open Sans" w:eastAsia="Calibri" w:hAnsi="Open Sans" w:cs="Open Sans"/>
          <w:b/>
          <w:bCs/>
          <w:color w:val="000000" w:themeColor="text1"/>
          <w:lang w:val="en-GB"/>
        </w:rPr>
      </w:pPr>
      <w:r>
        <w:rPr>
          <w:rFonts w:ascii="Open Sans" w:eastAsia="Calibri" w:hAnsi="Open Sans" w:cs="Open Sans"/>
          <w:b/>
          <w:bCs/>
          <w:color w:val="000000" w:themeColor="text1"/>
          <w:lang w:val="en-GB"/>
        </w:rPr>
        <w:br w:type="page"/>
      </w:r>
    </w:p>
    <w:p w14:paraId="6D5D4075" w14:textId="19C121EE" w:rsidR="3752455C" w:rsidRDefault="3752455C" w:rsidP="00826588">
      <w:pPr>
        <w:spacing w:after="120" w:line="240" w:lineRule="auto"/>
        <w:jc w:val="both"/>
        <w:rPr>
          <w:rFonts w:ascii="Open Sans" w:eastAsia="Calibri" w:hAnsi="Open Sans" w:cs="Open Sans"/>
          <w:b/>
          <w:bCs/>
          <w:color w:val="000000" w:themeColor="text1"/>
          <w:lang w:val="en-GB"/>
        </w:rPr>
      </w:pPr>
      <w:r w:rsidRPr="007538F8">
        <w:rPr>
          <w:rFonts w:ascii="Open Sans" w:eastAsia="Calibri" w:hAnsi="Open Sans" w:cs="Open Sans"/>
          <w:b/>
          <w:bCs/>
          <w:color w:val="000000" w:themeColor="text1"/>
          <w:lang w:val="en-GB"/>
        </w:rPr>
        <w:lastRenderedPageBreak/>
        <w:t>TOPIC OUTLINE</w:t>
      </w:r>
    </w:p>
    <w:tbl>
      <w:tblPr>
        <w:tblW w:w="10998"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278"/>
        <w:gridCol w:w="6840"/>
        <w:gridCol w:w="2880"/>
      </w:tblGrid>
      <w:tr w:rsidR="000365AB" w:rsidRPr="000365AB" w14:paraId="0A0ABEAF" w14:textId="77777777" w:rsidTr="000365AB">
        <w:tblPrEx>
          <w:tblCellMar>
            <w:top w:w="0" w:type="dxa"/>
            <w:bottom w:w="0" w:type="dxa"/>
          </w:tblCellMar>
        </w:tblPrEx>
        <w:trPr>
          <w:trHeight w:val="260"/>
        </w:trPr>
        <w:tc>
          <w:tcPr>
            <w:tcW w:w="1278" w:type="dxa"/>
            <w:tcBorders>
              <w:top w:val="none" w:sz="6" w:space="0" w:color="auto"/>
              <w:bottom w:val="none" w:sz="6" w:space="0" w:color="auto"/>
              <w:right w:val="none" w:sz="6" w:space="0" w:color="auto"/>
            </w:tcBorders>
          </w:tcPr>
          <w:p w14:paraId="218674C0" w14:textId="77777777" w:rsidR="000365AB" w:rsidRPr="000365AB" w:rsidRDefault="000365AB" w:rsidP="000365AB">
            <w:pPr>
              <w:autoSpaceDE w:val="0"/>
              <w:autoSpaceDN w:val="0"/>
              <w:adjustRightInd w:val="0"/>
              <w:spacing w:after="0" w:line="240" w:lineRule="auto"/>
              <w:rPr>
                <w:rFonts w:ascii="Open Sans" w:hAnsi="Open Sans" w:cs="Open Sans"/>
                <w:color w:val="000000"/>
              </w:rPr>
            </w:pPr>
            <w:r w:rsidRPr="000365AB">
              <w:rPr>
                <w:rFonts w:ascii="Open Sans" w:hAnsi="Open Sans" w:cs="Open Sans"/>
                <w:b/>
                <w:bCs/>
                <w:color w:val="000000"/>
              </w:rPr>
              <w:t xml:space="preserve">Module </w:t>
            </w:r>
          </w:p>
        </w:tc>
        <w:tc>
          <w:tcPr>
            <w:tcW w:w="6840" w:type="dxa"/>
            <w:tcBorders>
              <w:top w:val="none" w:sz="6" w:space="0" w:color="auto"/>
              <w:left w:val="none" w:sz="6" w:space="0" w:color="auto"/>
              <w:bottom w:val="none" w:sz="6" w:space="0" w:color="auto"/>
              <w:right w:val="none" w:sz="6" w:space="0" w:color="auto"/>
            </w:tcBorders>
          </w:tcPr>
          <w:p w14:paraId="3E39BFFE" w14:textId="77777777" w:rsidR="000365AB" w:rsidRPr="000365AB" w:rsidRDefault="000365AB" w:rsidP="000365AB">
            <w:pPr>
              <w:autoSpaceDE w:val="0"/>
              <w:autoSpaceDN w:val="0"/>
              <w:adjustRightInd w:val="0"/>
              <w:spacing w:after="0" w:line="240" w:lineRule="auto"/>
              <w:rPr>
                <w:rFonts w:ascii="Open Sans" w:hAnsi="Open Sans" w:cs="Open Sans"/>
                <w:color w:val="000000"/>
              </w:rPr>
            </w:pPr>
            <w:r w:rsidRPr="000365AB">
              <w:rPr>
                <w:rFonts w:ascii="Open Sans" w:hAnsi="Open Sans" w:cs="Open Sans"/>
                <w:b/>
                <w:bCs/>
                <w:color w:val="000000"/>
              </w:rPr>
              <w:t xml:space="preserve">Topic </w:t>
            </w:r>
          </w:p>
        </w:tc>
        <w:tc>
          <w:tcPr>
            <w:tcW w:w="2880" w:type="dxa"/>
            <w:tcBorders>
              <w:top w:val="none" w:sz="6" w:space="0" w:color="auto"/>
              <w:left w:val="none" w:sz="6" w:space="0" w:color="auto"/>
              <w:bottom w:val="none" w:sz="6" w:space="0" w:color="auto"/>
            </w:tcBorders>
          </w:tcPr>
          <w:p w14:paraId="0874CEDA" w14:textId="512DC944" w:rsidR="000365AB" w:rsidRDefault="000365AB" w:rsidP="000365AB">
            <w:pPr>
              <w:autoSpaceDE w:val="0"/>
              <w:autoSpaceDN w:val="0"/>
              <w:adjustRightInd w:val="0"/>
              <w:spacing w:after="0" w:line="240" w:lineRule="auto"/>
              <w:rPr>
                <w:rFonts w:ascii="Open Sans" w:hAnsi="Open Sans" w:cs="Open Sans"/>
                <w:b/>
                <w:bCs/>
                <w:color w:val="000000"/>
              </w:rPr>
            </w:pPr>
            <w:r w:rsidRPr="000365AB">
              <w:rPr>
                <w:rFonts w:ascii="Open Sans" w:hAnsi="Open Sans" w:cs="Open Sans"/>
                <w:b/>
                <w:bCs/>
                <w:color w:val="000000"/>
              </w:rPr>
              <w:t>Accompanying Readings</w:t>
            </w:r>
          </w:p>
          <w:p w14:paraId="48874FBC" w14:textId="3FC1CA25" w:rsidR="000365AB" w:rsidRPr="000365AB" w:rsidRDefault="000365AB" w:rsidP="000365AB">
            <w:pPr>
              <w:autoSpaceDE w:val="0"/>
              <w:autoSpaceDN w:val="0"/>
              <w:adjustRightInd w:val="0"/>
              <w:spacing w:after="0" w:line="240" w:lineRule="auto"/>
              <w:jc w:val="center"/>
              <w:rPr>
                <w:rFonts w:ascii="Open Sans" w:hAnsi="Open Sans" w:cs="Open Sans"/>
                <w:color w:val="000000"/>
              </w:rPr>
            </w:pPr>
            <w:r w:rsidRPr="000365AB">
              <w:rPr>
                <w:rFonts w:ascii="Open Sans" w:hAnsi="Open Sans" w:cs="Open Sans"/>
                <w:b/>
                <w:bCs/>
                <w:color w:val="000000"/>
              </w:rPr>
              <w:t xml:space="preserve">from </w:t>
            </w:r>
            <w:proofErr w:type="spellStart"/>
            <w:r w:rsidRPr="000365AB">
              <w:rPr>
                <w:rFonts w:ascii="Open Sans" w:hAnsi="Open Sans" w:cs="Open Sans"/>
                <w:b/>
                <w:bCs/>
                <w:color w:val="000000"/>
              </w:rPr>
              <w:t>Albarède</w:t>
            </w:r>
            <w:proofErr w:type="spellEnd"/>
          </w:p>
        </w:tc>
      </w:tr>
      <w:tr w:rsidR="000365AB" w:rsidRPr="000365AB" w14:paraId="0BF0CA95" w14:textId="77777777" w:rsidTr="000365AB">
        <w:tblPrEx>
          <w:tblCellMar>
            <w:top w:w="0" w:type="dxa"/>
            <w:bottom w:w="0" w:type="dxa"/>
          </w:tblCellMar>
        </w:tblPrEx>
        <w:trPr>
          <w:trHeight w:val="410"/>
        </w:trPr>
        <w:tc>
          <w:tcPr>
            <w:tcW w:w="1278" w:type="dxa"/>
            <w:tcBorders>
              <w:top w:val="none" w:sz="6" w:space="0" w:color="auto"/>
              <w:bottom w:val="none" w:sz="6" w:space="0" w:color="auto"/>
              <w:right w:val="none" w:sz="6" w:space="0" w:color="auto"/>
            </w:tcBorders>
          </w:tcPr>
          <w:p w14:paraId="5941FBD1" w14:textId="56F25F74" w:rsidR="000365AB" w:rsidRPr="000365AB" w:rsidRDefault="000365AB" w:rsidP="000365AB">
            <w:pPr>
              <w:autoSpaceDE w:val="0"/>
              <w:autoSpaceDN w:val="0"/>
              <w:adjustRightInd w:val="0"/>
              <w:spacing w:after="0" w:line="240" w:lineRule="auto"/>
              <w:jc w:val="center"/>
              <w:rPr>
                <w:rFonts w:ascii="Open Sans" w:hAnsi="Open Sans" w:cs="Open Sans"/>
                <w:color w:val="000000"/>
              </w:rPr>
            </w:pPr>
            <w:r w:rsidRPr="000365AB">
              <w:rPr>
                <w:rFonts w:ascii="Open Sans" w:hAnsi="Open Sans" w:cs="Open Sans"/>
                <w:color w:val="000000"/>
              </w:rPr>
              <w:t>1</w:t>
            </w:r>
          </w:p>
        </w:tc>
        <w:tc>
          <w:tcPr>
            <w:tcW w:w="6840" w:type="dxa"/>
            <w:tcBorders>
              <w:top w:val="none" w:sz="6" w:space="0" w:color="auto"/>
              <w:left w:val="none" w:sz="6" w:space="0" w:color="auto"/>
              <w:bottom w:val="none" w:sz="6" w:space="0" w:color="auto"/>
              <w:right w:val="none" w:sz="6" w:space="0" w:color="auto"/>
            </w:tcBorders>
          </w:tcPr>
          <w:p w14:paraId="53665C43" w14:textId="77777777" w:rsidR="000365AB" w:rsidRPr="000365AB" w:rsidRDefault="000365AB" w:rsidP="000365AB">
            <w:pPr>
              <w:autoSpaceDE w:val="0"/>
              <w:autoSpaceDN w:val="0"/>
              <w:adjustRightInd w:val="0"/>
              <w:spacing w:after="0" w:line="240" w:lineRule="auto"/>
              <w:rPr>
                <w:rFonts w:ascii="Open Sans" w:hAnsi="Open Sans" w:cs="Open Sans"/>
                <w:color w:val="000000"/>
              </w:rPr>
            </w:pPr>
            <w:r w:rsidRPr="000365AB">
              <w:rPr>
                <w:rFonts w:ascii="Open Sans" w:hAnsi="Open Sans" w:cs="Open Sans"/>
                <w:b/>
                <w:bCs/>
                <w:color w:val="000000"/>
              </w:rPr>
              <w:t xml:space="preserve">Properties of elements: </w:t>
            </w:r>
            <w:r w:rsidRPr="000365AB">
              <w:rPr>
                <w:rFonts w:ascii="Open Sans" w:hAnsi="Open Sans" w:cs="Open Sans"/>
                <w:color w:val="000000"/>
              </w:rPr>
              <w:t xml:space="preserve">Review of the periodic table, chemical bonding, states of matter, geochemical classifications, elemental reservoirs, radioactivity. </w:t>
            </w:r>
          </w:p>
        </w:tc>
        <w:tc>
          <w:tcPr>
            <w:tcW w:w="2880" w:type="dxa"/>
            <w:tcBorders>
              <w:top w:val="none" w:sz="6" w:space="0" w:color="auto"/>
              <w:left w:val="none" w:sz="6" w:space="0" w:color="auto"/>
              <w:bottom w:val="none" w:sz="6" w:space="0" w:color="auto"/>
            </w:tcBorders>
          </w:tcPr>
          <w:p w14:paraId="18EE604B" w14:textId="69D7832F" w:rsidR="000365AB" w:rsidRPr="000365AB" w:rsidRDefault="000365AB" w:rsidP="000365AB">
            <w:pPr>
              <w:autoSpaceDE w:val="0"/>
              <w:autoSpaceDN w:val="0"/>
              <w:adjustRightInd w:val="0"/>
              <w:spacing w:after="0" w:line="240" w:lineRule="auto"/>
              <w:jc w:val="center"/>
              <w:rPr>
                <w:rFonts w:ascii="Open Sans" w:hAnsi="Open Sans" w:cs="Open Sans"/>
                <w:color w:val="000000"/>
              </w:rPr>
            </w:pPr>
            <w:r w:rsidRPr="000365AB">
              <w:rPr>
                <w:rFonts w:ascii="Open Sans" w:hAnsi="Open Sans" w:cs="Open Sans"/>
                <w:color w:val="000000"/>
              </w:rPr>
              <w:t>Ch. 1 (5-24)</w:t>
            </w:r>
          </w:p>
        </w:tc>
      </w:tr>
      <w:tr w:rsidR="000365AB" w:rsidRPr="000365AB" w14:paraId="70042879" w14:textId="77777777" w:rsidTr="000365AB">
        <w:tblPrEx>
          <w:tblCellMar>
            <w:top w:w="0" w:type="dxa"/>
            <w:bottom w:w="0" w:type="dxa"/>
          </w:tblCellMar>
        </w:tblPrEx>
        <w:trPr>
          <w:trHeight w:val="560"/>
        </w:trPr>
        <w:tc>
          <w:tcPr>
            <w:tcW w:w="1278" w:type="dxa"/>
            <w:tcBorders>
              <w:top w:val="none" w:sz="6" w:space="0" w:color="auto"/>
              <w:bottom w:val="none" w:sz="6" w:space="0" w:color="auto"/>
              <w:right w:val="none" w:sz="6" w:space="0" w:color="auto"/>
            </w:tcBorders>
          </w:tcPr>
          <w:p w14:paraId="2F98657C" w14:textId="2B44C726" w:rsidR="000365AB" w:rsidRPr="000365AB" w:rsidRDefault="000365AB" w:rsidP="000365AB">
            <w:pPr>
              <w:autoSpaceDE w:val="0"/>
              <w:autoSpaceDN w:val="0"/>
              <w:adjustRightInd w:val="0"/>
              <w:spacing w:after="0" w:line="240" w:lineRule="auto"/>
              <w:jc w:val="center"/>
              <w:rPr>
                <w:rFonts w:ascii="Open Sans" w:hAnsi="Open Sans" w:cs="Open Sans"/>
                <w:color w:val="000000"/>
              </w:rPr>
            </w:pPr>
            <w:r w:rsidRPr="000365AB">
              <w:rPr>
                <w:rFonts w:ascii="Open Sans" w:hAnsi="Open Sans" w:cs="Open Sans"/>
                <w:color w:val="000000"/>
              </w:rPr>
              <w:t>2</w:t>
            </w:r>
          </w:p>
        </w:tc>
        <w:tc>
          <w:tcPr>
            <w:tcW w:w="6840" w:type="dxa"/>
            <w:tcBorders>
              <w:top w:val="none" w:sz="6" w:space="0" w:color="auto"/>
              <w:left w:val="none" w:sz="6" w:space="0" w:color="auto"/>
              <w:bottom w:val="none" w:sz="6" w:space="0" w:color="auto"/>
              <w:right w:val="none" w:sz="6" w:space="0" w:color="auto"/>
            </w:tcBorders>
          </w:tcPr>
          <w:p w14:paraId="047A1819" w14:textId="77777777" w:rsidR="000365AB" w:rsidRPr="000365AB" w:rsidRDefault="000365AB" w:rsidP="000365AB">
            <w:pPr>
              <w:autoSpaceDE w:val="0"/>
              <w:autoSpaceDN w:val="0"/>
              <w:adjustRightInd w:val="0"/>
              <w:spacing w:after="0" w:line="240" w:lineRule="auto"/>
              <w:rPr>
                <w:rFonts w:ascii="Open Sans" w:hAnsi="Open Sans" w:cs="Open Sans"/>
                <w:color w:val="000000"/>
              </w:rPr>
            </w:pPr>
            <w:r w:rsidRPr="000365AB">
              <w:rPr>
                <w:rFonts w:ascii="Open Sans" w:hAnsi="Open Sans" w:cs="Open Sans"/>
                <w:b/>
                <w:bCs/>
                <w:color w:val="000000"/>
              </w:rPr>
              <w:t xml:space="preserve">Earth in the solar system: </w:t>
            </w:r>
            <w:r w:rsidRPr="000365AB">
              <w:rPr>
                <w:rFonts w:ascii="Open Sans" w:hAnsi="Open Sans" w:cs="Open Sans"/>
                <w:color w:val="000000"/>
              </w:rPr>
              <w:t xml:space="preserve">formation of elements and nucleosynthesis, formation of the solar system, condensation of planetary material, composition of Earth and its ongoing differentiation, origin of seawater. </w:t>
            </w:r>
          </w:p>
        </w:tc>
        <w:tc>
          <w:tcPr>
            <w:tcW w:w="2880" w:type="dxa"/>
            <w:tcBorders>
              <w:top w:val="none" w:sz="6" w:space="0" w:color="auto"/>
              <w:left w:val="none" w:sz="6" w:space="0" w:color="auto"/>
              <w:bottom w:val="none" w:sz="6" w:space="0" w:color="auto"/>
            </w:tcBorders>
          </w:tcPr>
          <w:p w14:paraId="5AFB2696" w14:textId="0BD08775" w:rsidR="000365AB" w:rsidRPr="000365AB" w:rsidRDefault="000365AB" w:rsidP="000365AB">
            <w:pPr>
              <w:autoSpaceDE w:val="0"/>
              <w:autoSpaceDN w:val="0"/>
              <w:adjustRightInd w:val="0"/>
              <w:spacing w:after="0" w:line="240" w:lineRule="auto"/>
              <w:jc w:val="center"/>
              <w:rPr>
                <w:rFonts w:ascii="Open Sans" w:hAnsi="Open Sans" w:cs="Open Sans"/>
                <w:color w:val="000000"/>
              </w:rPr>
            </w:pPr>
            <w:r w:rsidRPr="000365AB">
              <w:rPr>
                <w:rFonts w:ascii="Open Sans" w:hAnsi="Open Sans" w:cs="Open Sans"/>
                <w:color w:val="000000"/>
              </w:rPr>
              <w:t>Ch. 11 (248-287)</w:t>
            </w:r>
          </w:p>
        </w:tc>
      </w:tr>
      <w:tr w:rsidR="000365AB" w:rsidRPr="000365AB" w14:paraId="4A298580" w14:textId="77777777" w:rsidTr="000365AB">
        <w:tblPrEx>
          <w:tblCellMar>
            <w:top w:w="0" w:type="dxa"/>
            <w:bottom w:w="0" w:type="dxa"/>
          </w:tblCellMar>
        </w:tblPrEx>
        <w:trPr>
          <w:trHeight w:val="410"/>
        </w:trPr>
        <w:tc>
          <w:tcPr>
            <w:tcW w:w="1278" w:type="dxa"/>
            <w:tcBorders>
              <w:top w:val="none" w:sz="6" w:space="0" w:color="auto"/>
              <w:bottom w:val="none" w:sz="6" w:space="0" w:color="auto"/>
              <w:right w:val="none" w:sz="6" w:space="0" w:color="auto"/>
            </w:tcBorders>
          </w:tcPr>
          <w:p w14:paraId="6A919DF2" w14:textId="0898C6C3" w:rsidR="000365AB" w:rsidRPr="000365AB" w:rsidRDefault="000365AB" w:rsidP="000365AB">
            <w:pPr>
              <w:autoSpaceDE w:val="0"/>
              <w:autoSpaceDN w:val="0"/>
              <w:adjustRightInd w:val="0"/>
              <w:spacing w:after="0" w:line="240" w:lineRule="auto"/>
              <w:jc w:val="center"/>
              <w:rPr>
                <w:rFonts w:ascii="Open Sans" w:hAnsi="Open Sans" w:cs="Open Sans"/>
                <w:color w:val="000000"/>
              </w:rPr>
            </w:pPr>
            <w:r w:rsidRPr="000365AB">
              <w:rPr>
                <w:rFonts w:ascii="Open Sans" w:hAnsi="Open Sans" w:cs="Open Sans"/>
                <w:color w:val="000000"/>
              </w:rPr>
              <w:t>3</w:t>
            </w:r>
          </w:p>
        </w:tc>
        <w:tc>
          <w:tcPr>
            <w:tcW w:w="6840" w:type="dxa"/>
            <w:tcBorders>
              <w:top w:val="none" w:sz="6" w:space="0" w:color="auto"/>
              <w:left w:val="none" w:sz="6" w:space="0" w:color="auto"/>
              <w:bottom w:val="none" w:sz="6" w:space="0" w:color="auto"/>
              <w:right w:val="none" w:sz="6" w:space="0" w:color="auto"/>
            </w:tcBorders>
          </w:tcPr>
          <w:p w14:paraId="6F652DA5" w14:textId="77777777" w:rsidR="000365AB" w:rsidRPr="000365AB" w:rsidRDefault="000365AB" w:rsidP="000365AB">
            <w:pPr>
              <w:autoSpaceDE w:val="0"/>
              <w:autoSpaceDN w:val="0"/>
              <w:adjustRightInd w:val="0"/>
              <w:spacing w:after="0" w:line="240" w:lineRule="auto"/>
              <w:rPr>
                <w:rFonts w:ascii="Open Sans" w:hAnsi="Open Sans" w:cs="Open Sans"/>
                <w:color w:val="000000"/>
              </w:rPr>
            </w:pPr>
            <w:r w:rsidRPr="000365AB">
              <w:rPr>
                <w:rFonts w:ascii="Open Sans" w:hAnsi="Open Sans" w:cs="Open Sans"/>
                <w:b/>
                <w:bCs/>
                <w:color w:val="000000"/>
              </w:rPr>
              <w:t xml:space="preserve">Mass conservation and elemental fractionation: </w:t>
            </w:r>
            <w:r w:rsidRPr="000365AB">
              <w:rPr>
                <w:rFonts w:ascii="Open Sans" w:hAnsi="Open Sans" w:cs="Open Sans"/>
                <w:color w:val="000000"/>
              </w:rPr>
              <w:t xml:space="preserve">conservation of mass, elemental fractionation, films and interfaces, distillation processes. </w:t>
            </w:r>
          </w:p>
        </w:tc>
        <w:tc>
          <w:tcPr>
            <w:tcW w:w="2880" w:type="dxa"/>
            <w:tcBorders>
              <w:top w:val="none" w:sz="6" w:space="0" w:color="auto"/>
              <w:left w:val="none" w:sz="6" w:space="0" w:color="auto"/>
              <w:bottom w:val="none" w:sz="6" w:space="0" w:color="auto"/>
            </w:tcBorders>
          </w:tcPr>
          <w:p w14:paraId="1794FFE4" w14:textId="59E93DC3" w:rsidR="000365AB" w:rsidRPr="000365AB" w:rsidRDefault="000365AB" w:rsidP="000365AB">
            <w:pPr>
              <w:autoSpaceDE w:val="0"/>
              <w:autoSpaceDN w:val="0"/>
              <w:adjustRightInd w:val="0"/>
              <w:spacing w:after="0" w:line="240" w:lineRule="auto"/>
              <w:jc w:val="center"/>
              <w:rPr>
                <w:rFonts w:ascii="Open Sans" w:hAnsi="Open Sans" w:cs="Open Sans"/>
                <w:color w:val="000000"/>
              </w:rPr>
            </w:pPr>
            <w:r w:rsidRPr="000365AB">
              <w:rPr>
                <w:rFonts w:ascii="Open Sans" w:hAnsi="Open Sans" w:cs="Open Sans"/>
                <w:color w:val="000000"/>
              </w:rPr>
              <w:t>Ch. 2 (25-44)</w:t>
            </w:r>
          </w:p>
        </w:tc>
      </w:tr>
      <w:tr w:rsidR="000365AB" w:rsidRPr="000365AB" w14:paraId="732C5E0A" w14:textId="77777777" w:rsidTr="000365AB">
        <w:tblPrEx>
          <w:tblCellMar>
            <w:top w:w="0" w:type="dxa"/>
            <w:bottom w:w="0" w:type="dxa"/>
          </w:tblCellMar>
        </w:tblPrEx>
        <w:trPr>
          <w:trHeight w:val="860"/>
        </w:trPr>
        <w:tc>
          <w:tcPr>
            <w:tcW w:w="1278" w:type="dxa"/>
            <w:tcBorders>
              <w:top w:val="none" w:sz="6" w:space="0" w:color="auto"/>
              <w:bottom w:val="none" w:sz="6" w:space="0" w:color="auto"/>
              <w:right w:val="none" w:sz="6" w:space="0" w:color="auto"/>
            </w:tcBorders>
          </w:tcPr>
          <w:p w14:paraId="35F357C4" w14:textId="680DE507" w:rsidR="000365AB" w:rsidRPr="000365AB" w:rsidRDefault="000365AB" w:rsidP="000365AB">
            <w:pPr>
              <w:autoSpaceDE w:val="0"/>
              <w:autoSpaceDN w:val="0"/>
              <w:adjustRightInd w:val="0"/>
              <w:spacing w:after="0" w:line="240" w:lineRule="auto"/>
              <w:jc w:val="center"/>
              <w:rPr>
                <w:rFonts w:ascii="Open Sans" w:hAnsi="Open Sans" w:cs="Open Sans"/>
                <w:color w:val="000000"/>
              </w:rPr>
            </w:pPr>
            <w:r w:rsidRPr="000365AB">
              <w:rPr>
                <w:rFonts w:ascii="Open Sans" w:hAnsi="Open Sans" w:cs="Open Sans"/>
                <w:color w:val="000000"/>
              </w:rPr>
              <w:t>4</w:t>
            </w:r>
          </w:p>
        </w:tc>
        <w:tc>
          <w:tcPr>
            <w:tcW w:w="6840" w:type="dxa"/>
            <w:tcBorders>
              <w:top w:val="none" w:sz="6" w:space="0" w:color="auto"/>
              <w:left w:val="none" w:sz="6" w:space="0" w:color="auto"/>
              <w:bottom w:val="none" w:sz="6" w:space="0" w:color="auto"/>
              <w:right w:val="none" w:sz="6" w:space="0" w:color="auto"/>
            </w:tcBorders>
          </w:tcPr>
          <w:p w14:paraId="537AD2FE" w14:textId="77777777" w:rsidR="000365AB" w:rsidRPr="000365AB" w:rsidRDefault="000365AB" w:rsidP="000365AB">
            <w:pPr>
              <w:autoSpaceDE w:val="0"/>
              <w:autoSpaceDN w:val="0"/>
              <w:adjustRightInd w:val="0"/>
              <w:spacing w:after="0" w:line="240" w:lineRule="auto"/>
              <w:rPr>
                <w:rFonts w:ascii="Open Sans" w:hAnsi="Open Sans" w:cs="Open Sans"/>
                <w:color w:val="000000"/>
              </w:rPr>
            </w:pPr>
            <w:r w:rsidRPr="000365AB">
              <w:rPr>
                <w:rFonts w:ascii="Open Sans" w:hAnsi="Open Sans" w:cs="Open Sans"/>
                <w:b/>
                <w:bCs/>
                <w:color w:val="000000"/>
              </w:rPr>
              <w:t xml:space="preserve">Solid-Earth geochemistry: </w:t>
            </w:r>
            <w:r w:rsidRPr="000365AB">
              <w:rPr>
                <w:rFonts w:ascii="Open Sans" w:hAnsi="Open Sans" w:cs="Open Sans"/>
                <w:color w:val="000000"/>
              </w:rPr>
              <w:t xml:space="preserve">distribution of trace elements between coexisting phases, factors governing the value of partition coefficients, geochemical variability of magmas, mantle and crustal melting, magmatism at specific tectonic sites, mantle convection and geochemical reservoirs, growth of continental crust. </w:t>
            </w:r>
          </w:p>
        </w:tc>
        <w:tc>
          <w:tcPr>
            <w:tcW w:w="2880" w:type="dxa"/>
            <w:tcBorders>
              <w:top w:val="none" w:sz="6" w:space="0" w:color="auto"/>
              <w:left w:val="none" w:sz="6" w:space="0" w:color="auto"/>
              <w:bottom w:val="none" w:sz="6" w:space="0" w:color="auto"/>
            </w:tcBorders>
          </w:tcPr>
          <w:p w14:paraId="29FD3D7B" w14:textId="63F34CC3" w:rsidR="000365AB" w:rsidRPr="000365AB" w:rsidRDefault="000365AB" w:rsidP="000365AB">
            <w:pPr>
              <w:autoSpaceDE w:val="0"/>
              <w:autoSpaceDN w:val="0"/>
              <w:adjustRightInd w:val="0"/>
              <w:spacing w:after="0" w:line="240" w:lineRule="auto"/>
              <w:jc w:val="center"/>
              <w:rPr>
                <w:rFonts w:ascii="Open Sans" w:hAnsi="Open Sans" w:cs="Open Sans"/>
                <w:color w:val="000000"/>
              </w:rPr>
            </w:pPr>
            <w:r w:rsidRPr="000365AB">
              <w:rPr>
                <w:rFonts w:ascii="Open Sans" w:hAnsi="Open Sans" w:cs="Open Sans"/>
                <w:color w:val="000000"/>
              </w:rPr>
              <w:t>Ch. 10 (218-247)</w:t>
            </w:r>
          </w:p>
        </w:tc>
      </w:tr>
      <w:tr w:rsidR="000365AB" w:rsidRPr="000365AB" w14:paraId="2E3BFEF1" w14:textId="77777777" w:rsidTr="000365AB">
        <w:tblPrEx>
          <w:tblCellMar>
            <w:top w:w="0" w:type="dxa"/>
            <w:bottom w:w="0" w:type="dxa"/>
          </w:tblCellMar>
        </w:tblPrEx>
        <w:trPr>
          <w:trHeight w:val="708"/>
        </w:trPr>
        <w:tc>
          <w:tcPr>
            <w:tcW w:w="1278" w:type="dxa"/>
            <w:tcBorders>
              <w:top w:val="none" w:sz="6" w:space="0" w:color="auto"/>
              <w:bottom w:val="none" w:sz="6" w:space="0" w:color="auto"/>
              <w:right w:val="none" w:sz="6" w:space="0" w:color="auto"/>
            </w:tcBorders>
          </w:tcPr>
          <w:p w14:paraId="082094FB" w14:textId="7818349A" w:rsidR="000365AB" w:rsidRPr="000365AB" w:rsidRDefault="000365AB" w:rsidP="000365AB">
            <w:pPr>
              <w:autoSpaceDE w:val="0"/>
              <w:autoSpaceDN w:val="0"/>
              <w:adjustRightInd w:val="0"/>
              <w:spacing w:after="0" w:line="240" w:lineRule="auto"/>
              <w:jc w:val="center"/>
              <w:rPr>
                <w:rFonts w:ascii="Open Sans" w:hAnsi="Open Sans" w:cs="Open Sans"/>
                <w:color w:val="000000"/>
              </w:rPr>
            </w:pPr>
            <w:r w:rsidRPr="000365AB">
              <w:rPr>
                <w:rFonts w:ascii="Open Sans" w:hAnsi="Open Sans" w:cs="Open Sans"/>
                <w:color w:val="000000"/>
              </w:rPr>
              <w:t>5</w:t>
            </w:r>
          </w:p>
        </w:tc>
        <w:tc>
          <w:tcPr>
            <w:tcW w:w="6840" w:type="dxa"/>
            <w:tcBorders>
              <w:top w:val="none" w:sz="6" w:space="0" w:color="auto"/>
              <w:left w:val="none" w:sz="6" w:space="0" w:color="auto"/>
              <w:bottom w:val="none" w:sz="6" w:space="0" w:color="auto"/>
              <w:right w:val="none" w:sz="6" w:space="0" w:color="auto"/>
            </w:tcBorders>
          </w:tcPr>
          <w:p w14:paraId="650011A9" w14:textId="77777777" w:rsidR="000365AB" w:rsidRPr="000365AB" w:rsidRDefault="000365AB" w:rsidP="000365AB">
            <w:pPr>
              <w:autoSpaceDE w:val="0"/>
              <w:autoSpaceDN w:val="0"/>
              <w:adjustRightInd w:val="0"/>
              <w:spacing w:after="0" w:line="240" w:lineRule="auto"/>
              <w:rPr>
                <w:rFonts w:ascii="Open Sans" w:hAnsi="Open Sans" w:cs="Open Sans"/>
                <w:color w:val="000000"/>
              </w:rPr>
            </w:pPr>
            <w:r w:rsidRPr="000365AB">
              <w:rPr>
                <w:rFonts w:ascii="Open Sans" w:hAnsi="Open Sans" w:cs="Open Sans"/>
                <w:b/>
                <w:bCs/>
                <w:color w:val="000000"/>
              </w:rPr>
              <w:t xml:space="preserve">Stable isotopes: </w:t>
            </w:r>
            <w:r w:rsidRPr="000365AB">
              <w:rPr>
                <w:rFonts w:ascii="Open Sans" w:hAnsi="Open Sans" w:cs="Open Sans"/>
                <w:color w:val="000000"/>
              </w:rPr>
              <w:t xml:space="preserve">principles of fractionation in hydrological and biological systems, delta notation; isotope </w:t>
            </w:r>
            <w:proofErr w:type="spellStart"/>
            <w:r w:rsidRPr="000365AB">
              <w:rPr>
                <w:rFonts w:ascii="Open Sans" w:hAnsi="Open Sans" w:cs="Open Sans"/>
                <w:color w:val="000000"/>
              </w:rPr>
              <w:t>geothermometry</w:t>
            </w:r>
            <w:proofErr w:type="spellEnd"/>
            <w:r w:rsidRPr="000365AB">
              <w:rPr>
                <w:rFonts w:ascii="Open Sans" w:hAnsi="Open Sans" w:cs="Open Sans"/>
                <w:color w:val="000000"/>
              </w:rPr>
              <w:t xml:space="preserve">, stable isotopes in hydrothermal systems and ore deposits, stable isotopes in the mantle and magmatic systems, paleoclimatology. </w:t>
            </w:r>
          </w:p>
        </w:tc>
        <w:tc>
          <w:tcPr>
            <w:tcW w:w="2880" w:type="dxa"/>
            <w:tcBorders>
              <w:top w:val="none" w:sz="6" w:space="0" w:color="auto"/>
              <w:left w:val="none" w:sz="6" w:space="0" w:color="auto"/>
              <w:bottom w:val="none" w:sz="6" w:space="0" w:color="auto"/>
            </w:tcBorders>
          </w:tcPr>
          <w:p w14:paraId="4EB26E3D" w14:textId="07D4B666" w:rsidR="000365AB" w:rsidRPr="000365AB" w:rsidRDefault="000365AB" w:rsidP="000365AB">
            <w:pPr>
              <w:autoSpaceDE w:val="0"/>
              <w:autoSpaceDN w:val="0"/>
              <w:adjustRightInd w:val="0"/>
              <w:spacing w:after="0" w:line="240" w:lineRule="auto"/>
              <w:jc w:val="center"/>
              <w:rPr>
                <w:rFonts w:ascii="Open Sans" w:hAnsi="Open Sans" w:cs="Open Sans"/>
                <w:color w:val="000000"/>
              </w:rPr>
            </w:pPr>
            <w:r w:rsidRPr="000365AB">
              <w:rPr>
                <w:rFonts w:ascii="Open Sans" w:hAnsi="Open Sans" w:cs="Open Sans"/>
                <w:color w:val="000000"/>
              </w:rPr>
              <w:t>Ch. 3 (45-70)</w:t>
            </w:r>
          </w:p>
        </w:tc>
      </w:tr>
      <w:tr w:rsidR="000365AB" w:rsidRPr="000365AB" w14:paraId="462D5692" w14:textId="77777777" w:rsidTr="000365AB">
        <w:tblPrEx>
          <w:tblCellMar>
            <w:top w:w="0" w:type="dxa"/>
            <w:bottom w:w="0" w:type="dxa"/>
          </w:tblCellMar>
        </w:tblPrEx>
        <w:trPr>
          <w:trHeight w:val="410"/>
        </w:trPr>
        <w:tc>
          <w:tcPr>
            <w:tcW w:w="1278" w:type="dxa"/>
            <w:tcBorders>
              <w:top w:val="none" w:sz="6" w:space="0" w:color="auto"/>
              <w:bottom w:val="none" w:sz="6" w:space="0" w:color="auto"/>
              <w:right w:val="none" w:sz="6" w:space="0" w:color="auto"/>
            </w:tcBorders>
          </w:tcPr>
          <w:p w14:paraId="4EB022CA" w14:textId="53A6E9D6" w:rsidR="000365AB" w:rsidRPr="000365AB" w:rsidRDefault="000365AB" w:rsidP="000365AB">
            <w:pPr>
              <w:autoSpaceDE w:val="0"/>
              <w:autoSpaceDN w:val="0"/>
              <w:adjustRightInd w:val="0"/>
              <w:spacing w:after="0" w:line="240" w:lineRule="auto"/>
              <w:jc w:val="center"/>
              <w:rPr>
                <w:rFonts w:ascii="Open Sans" w:hAnsi="Open Sans" w:cs="Open Sans"/>
                <w:color w:val="000000"/>
              </w:rPr>
            </w:pPr>
            <w:r w:rsidRPr="000365AB">
              <w:rPr>
                <w:rFonts w:ascii="Open Sans" w:hAnsi="Open Sans" w:cs="Open Sans"/>
                <w:color w:val="000000"/>
              </w:rPr>
              <w:t>6</w:t>
            </w:r>
          </w:p>
        </w:tc>
        <w:tc>
          <w:tcPr>
            <w:tcW w:w="6840" w:type="dxa"/>
            <w:tcBorders>
              <w:top w:val="none" w:sz="6" w:space="0" w:color="auto"/>
              <w:left w:val="none" w:sz="6" w:space="0" w:color="auto"/>
              <w:bottom w:val="none" w:sz="6" w:space="0" w:color="auto"/>
              <w:right w:val="none" w:sz="6" w:space="0" w:color="auto"/>
            </w:tcBorders>
          </w:tcPr>
          <w:p w14:paraId="563384E9" w14:textId="77777777" w:rsidR="000365AB" w:rsidRPr="000365AB" w:rsidRDefault="000365AB" w:rsidP="000365AB">
            <w:pPr>
              <w:autoSpaceDE w:val="0"/>
              <w:autoSpaceDN w:val="0"/>
              <w:adjustRightInd w:val="0"/>
              <w:spacing w:after="0" w:line="240" w:lineRule="auto"/>
              <w:rPr>
                <w:rFonts w:ascii="Open Sans" w:hAnsi="Open Sans" w:cs="Open Sans"/>
                <w:color w:val="000000"/>
              </w:rPr>
            </w:pPr>
            <w:r w:rsidRPr="000365AB">
              <w:rPr>
                <w:rFonts w:ascii="Open Sans" w:hAnsi="Open Sans" w:cs="Open Sans"/>
                <w:b/>
                <w:bCs/>
                <w:color w:val="000000"/>
              </w:rPr>
              <w:t xml:space="preserve">Radiogenic isotopes and geochronology: </w:t>
            </w:r>
            <w:r w:rsidRPr="000365AB">
              <w:rPr>
                <w:rFonts w:ascii="Open Sans" w:hAnsi="Open Sans" w:cs="Open Sans"/>
                <w:color w:val="000000"/>
              </w:rPr>
              <w:t xml:space="preserve">decay systems and their applications, cosmogenic and fossil isotopes, isochrons, radiogenic tracers. </w:t>
            </w:r>
          </w:p>
        </w:tc>
        <w:tc>
          <w:tcPr>
            <w:tcW w:w="2880" w:type="dxa"/>
            <w:tcBorders>
              <w:top w:val="none" w:sz="6" w:space="0" w:color="auto"/>
              <w:left w:val="none" w:sz="6" w:space="0" w:color="auto"/>
              <w:bottom w:val="none" w:sz="6" w:space="0" w:color="auto"/>
            </w:tcBorders>
          </w:tcPr>
          <w:p w14:paraId="117EBD35" w14:textId="06662D91" w:rsidR="000365AB" w:rsidRPr="000365AB" w:rsidRDefault="000365AB" w:rsidP="000365AB">
            <w:pPr>
              <w:autoSpaceDE w:val="0"/>
              <w:autoSpaceDN w:val="0"/>
              <w:adjustRightInd w:val="0"/>
              <w:spacing w:after="0" w:line="240" w:lineRule="auto"/>
              <w:jc w:val="center"/>
              <w:rPr>
                <w:rFonts w:ascii="Open Sans" w:hAnsi="Open Sans" w:cs="Open Sans"/>
                <w:color w:val="000000"/>
              </w:rPr>
            </w:pPr>
            <w:r w:rsidRPr="000365AB">
              <w:rPr>
                <w:rFonts w:ascii="Open Sans" w:hAnsi="Open Sans" w:cs="Open Sans"/>
                <w:color w:val="000000"/>
              </w:rPr>
              <w:t>Ch. 4 (70-100)</w:t>
            </w:r>
          </w:p>
        </w:tc>
      </w:tr>
      <w:tr w:rsidR="000365AB" w:rsidRPr="000365AB" w14:paraId="509A46E8" w14:textId="77777777" w:rsidTr="000365AB">
        <w:tblPrEx>
          <w:tblCellMar>
            <w:top w:w="0" w:type="dxa"/>
            <w:bottom w:w="0" w:type="dxa"/>
          </w:tblCellMar>
        </w:tblPrEx>
        <w:trPr>
          <w:trHeight w:val="558"/>
        </w:trPr>
        <w:tc>
          <w:tcPr>
            <w:tcW w:w="1278" w:type="dxa"/>
            <w:tcBorders>
              <w:top w:val="none" w:sz="6" w:space="0" w:color="auto"/>
              <w:bottom w:val="none" w:sz="6" w:space="0" w:color="auto"/>
              <w:right w:val="none" w:sz="6" w:space="0" w:color="auto"/>
            </w:tcBorders>
          </w:tcPr>
          <w:p w14:paraId="545F0158" w14:textId="4565942E" w:rsidR="000365AB" w:rsidRPr="000365AB" w:rsidRDefault="000365AB" w:rsidP="000365AB">
            <w:pPr>
              <w:autoSpaceDE w:val="0"/>
              <w:autoSpaceDN w:val="0"/>
              <w:adjustRightInd w:val="0"/>
              <w:spacing w:after="0" w:line="240" w:lineRule="auto"/>
              <w:jc w:val="center"/>
              <w:rPr>
                <w:rFonts w:ascii="Open Sans" w:hAnsi="Open Sans" w:cs="Open Sans"/>
                <w:color w:val="000000"/>
              </w:rPr>
            </w:pPr>
            <w:r w:rsidRPr="000365AB">
              <w:rPr>
                <w:rFonts w:ascii="Open Sans" w:hAnsi="Open Sans" w:cs="Open Sans"/>
                <w:color w:val="000000"/>
              </w:rPr>
              <w:t>7</w:t>
            </w:r>
          </w:p>
        </w:tc>
        <w:tc>
          <w:tcPr>
            <w:tcW w:w="6840" w:type="dxa"/>
            <w:tcBorders>
              <w:top w:val="none" w:sz="6" w:space="0" w:color="auto"/>
              <w:left w:val="none" w:sz="6" w:space="0" w:color="auto"/>
              <w:bottom w:val="none" w:sz="6" w:space="0" w:color="auto"/>
              <w:right w:val="none" w:sz="6" w:space="0" w:color="auto"/>
            </w:tcBorders>
          </w:tcPr>
          <w:p w14:paraId="5BC372CC" w14:textId="77777777" w:rsidR="000365AB" w:rsidRPr="000365AB" w:rsidRDefault="000365AB" w:rsidP="000365AB">
            <w:pPr>
              <w:autoSpaceDE w:val="0"/>
              <w:autoSpaceDN w:val="0"/>
              <w:adjustRightInd w:val="0"/>
              <w:spacing w:after="0" w:line="240" w:lineRule="auto"/>
              <w:rPr>
                <w:rFonts w:ascii="Open Sans" w:hAnsi="Open Sans" w:cs="Open Sans"/>
                <w:color w:val="000000"/>
              </w:rPr>
            </w:pPr>
            <w:r w:rsidRPr="000365AB">
              <w:rPr>
                <w:rFonts w:ascii="Open Sans" w:hAnsi="Open Sans" w:cs="Open Sans"/>
                <w:b/>
                <w:bCs/>
                <w:color w:val="000000"/>
              </w:rPr>
              <w:t xml:space="preserve">Element transport and reactions: </w:t>
            </w:r>
            <w:r w:rsidRPr="000365AB">
              <w:rPr>
                <w:rFonts w:ascii="Open Sans" w:hAnsi="Open Sans" w:cs="Open Sans"/>
                <w:color w:val="000000"/>
              </w:rPr>
              <w:t xml:space="preserve">reaction kinetics and reaction rates, relationship between kinetics and thermodynamics, advection, adsorption, diffusion, concept of closure temperature, kinetics of dissolution and leaching. </w:t>
            </w:r>
          </w:p>
        </w:tc>
        <w:tc>
          <w:tcPr>
            <w:tcW w:w="2880" w:type="dxa"/>
            <w:tcBorders>
              <w:top w:val="none" w:sz="6" w:space="0" w:color="auto"/>
              <w:left w:val="none" w:sz="6" w:space="0" w:color="auto"/>
              <w:bottom w:val="none" w:sz="6" w:space="0" w:color="auto"/>
            </w:tcBorders>
          </w:tcPr>
          <w:p w14:paraId="7417D02D" w14:textId="18EEC43B" w:rsidR="000365AB" w:rsidRPr="000365AB" w:rsidRDefault="000365AB" w:rsidP="000365AB">
            <w:pPr>
              <w:autoSpaceDE w:val="0"/>
              <w:autoSpaceDN w:val="0"/>
              <w:adjustRightInd w:val="0"/>
              <w:spacing w:after="0" w:line="240" w:lineRule="auto"/>
              <w:jc w:val="center"/>
              <w:rPr>
                <w:rFonts w:ascii="Open Sans" w:hAnsi="Open Sans" w:cs="Open Sans"/>
                <w:color w:val="000000"/>
              </w:rPr>
            </w:pPr>
            <w:r w:rsidRPr="000365AB">
              <w:rPr>
                <w:rFonts w:ascii="Open Sans" w:hAnsi="Open Sans" w:cs="Open Sans"/>
                <w:color w:val="000000"/>
              </w:rPr>
              <w:t>Ch. 5 (101-119)</w:t>
            </w:r>
          </w:p>
        </w:tc>
      </w:tr>
      <w:tr w:rsidR="000365AB" w:rsidRPr="000365AB" w14:paraId="333FAB74" w14:textId="77777777" w:rsidTr="000365AB">
        <w:tblPrEx>
          <w:tblCellMar>
            <w:top w:w="0" w:type="dxa"/>
            <w:bottom w:w="0" w:type="dxa"/>
          </w:tblCellMar>
        </w:tblPrEx>
        <w:trPr>
          <w:trHeight w:val="260"/>
        </w:trPr>
        <w:tc>
          <w:tcPr>
            <w:tcW w:w="1278" w:type="dxa"/>
            <w:tcBorders>
              <w:top w:val="none" w:sz="6" w:space="0" w:color="auto"/>
              <w:bottom w:val="none" w:sz="6" w:space="0" w:color="auto"/>
              <w:right w:val="none" w:sz="6" w:space="0" w:color="auto"/>
            </w:tcBorders>
          </w:tcPr>
          <w:p w14:paraId="499F1629" w14:textId="64F26F97" w:rsidR="000365AB" w:rsidRPr="000365AB" w:rsidRDefault="000365AB" w:rsidP="000365AB">
            <w:pPr>
              <w:autoSpaceDE w:val="0"/>
              <w:autoSpaceDN w:val="0"/>
              <w:adjustRightInd w:val="0"/>
              <w:spacing w:after="0" w:line="240" w:lineRule="auto"/>
              <w:jc w:val="center"/>
              <w:rPr>
                <w:rFonts w:ascii="Open Sans" w:hAnsi="Open Sans" w:cs="Open Sans"/>
                <w:color w:val="000000"/>
              </w:rPr>
            </w:pPr>
            <w:r w:rsidRPr="000365AB">
              <w:rPr>
                <w:rFonts w:ascii="Open Sans" w:hAnsi="Open Sans" w:cs="Open Sans"/>
                <w:color w:val="000000"/>
              </w:rPr>
              <w:t>8</w:t>
            </w:r>
          </w:p>
        </w:tc>
        <w:tc>
          <w:tcPr>
            <w:tcW w:w="6840" w:type="dxa"/>
            <w:tcBorders>
              <w:top w:val="none" w:sz="6" w:space="0" w:color="auto"/>
              <w:left w:val="none" w:sz="6" w:space="0" w:color="auto"/>
              <w:bottom w:val="none" w:sz="6" w:space="0" w:color="auto"/>
              <w:right w:val="none" w:sz="6" w:space="0" w:color="auto"/>
            </w:tcBorders>
          </w:tcPr>
          <w:p w14:paraId="7722019A" w14:textId="77777777" w:rsidR="000365AB" w:rsidRPr="000365AB" w:rsidRDefault="000365AB" w:rsidP="000365AB">
            <w:pPr>
              <w:autoSpaceDE w:val="0"/>
              <w:autoSpaceDN w:val="0"/>
              <w:adjustRightInd w:val="0"/>
              <w:spacing w:after="0" w:line="240" w:lineRule="auto"/>
              <w:rPr>
                <w:rFonts w:ascii="Open Sans" w:hAnsi="Open Sans" w:cs="Open Sans"/>
                <w:color w:val="000000"/>
              </w:rPr>
            </w:pPr>
            <w:r w:rsidRPr="000365AB">
              <w:rPr>
                <w:rFonts w:ascii="Open Sans" w:hAnsi="Open Sans" w:cs="Open Sans"/>
                <w:b/>
                <w:bCs/>
                <w:color w:val="000000"/>
              </w:rPr>
              <w:t xml:space="preserve">Geochemical systems: </w:t>
            </w:r>
            <w:r w:rsidRPr="000365AB">
              <w:rPr>
                <w:rFonts w:ascii="Open Sans" w:hAnsi="Open Sans" w:cs="Open Sans"/>
                <w:color w:val="000000"/>
              </w:rPr>
              <w:t xml:space="preserve">single-reservoir dynamics, interaction of multiple reservoirs, mixing and stirring. </w:t>
            </w:r>
          </w:p>
        </w:tc>
        <w:tc>
          <w:tcPr>
            <w:tcW w:w="2880" w:type="dxa"/>
            <w:tcBorders>
              <w:top w:val="none" w:sz="6" w:space="0" w:color="auto"/>
              <w:left w:val="none" w:sz="6" w:space="0" w:color="auto"/>
              <w:bottom w:val="none" w:sz="6" w:space="0" w:color="auto"/>
            </w:tcBorders>
          </w:tcPr>
          <w:p w14:paraId="6EA4618F" w14:textId="1AEAD9E3" w:rsidR="000365AB" w:rsidRPr="000365AB" w:rsidRDefault="000365AB" w:rsidP="000365AB">
            <w:pPr>
              <w:autoSpaceDE w:val="0"/>
              <w:autoSpaceDN w:val="0"/>
              <w:adjustRightInd w:val="0"/>
              <w:spacing w:after="0" w:line="240" w:lineRule="auto"/>
              <w:jc w:val="center"/>
              <w:rPr>
                <w:rFonts w:ascii="Open Sans" w:hAnsi="Open Sans" w:cs="Open Sans"/>
                <w:color w:val="000000"/>
              </w:rPr>
            </w:pPr>
            <w:r w:rsidRPr="000365AB">
              <w:rPr>
                <w:rFonts w:ascii="Open Sans" w:hAnsi="Open Sans" w:cs="Open Sans"/>
                <w:color w:val="000000"/>
              </w:rPr>
              <w:t>Ch. 6 (120-137)</w:t>
            </w:r>
          </w:p>
        </w:tc>
      </w:tr>
      <w:tr w:rsidR="000365AB" w:rsidRPr="000365AB" w14:paraId="535B6837" w14:textId="77777777" w:rsidTr="000365AB">
        <w:tblPrEx>
          <w:tblCellMar>
            <w:top w:w="0" w:type="dxa"/>
            <w:bottom w:w="0" w:type="dxa"/>
          </w:tblCellMar>
        </w:tblPrEx>
        <w:trPr>
          <w:trHeight w:val="1212"/>
        </w:trPr>
        <w:tc>
          <w:tcPr>
            <w:tcW w:w="1278" w:type="dxa"/>
            <w:tcBorders>
              <w:top w:val="none" w:sz="6" w:space="0" w:color="auto"/>
              <w:bottom w:val="none" w:sz="6" w:space="0" w:color="auto"/>
              <w:right w:val="none" w:sz="6" w:space="0" w:color="auto"/>
            </w:tcBorders>
          </w:tcPr>
          <w:p w14:paraId="2CA14866" w14:textId="43AFED9D" w:rsidR="000365AB" w:rsidRPr="000365AB" w:rsidRDefault="000365AB" w:rsidP="000365AB">
            <w:pPr>
              <w:autoSpaceDE w:val="0"/>
              <w:autoSpaceDN w:val="0"/>
              <w:adjustRightInd w:val="0"/>
              <w:spacing w:after="0" w:line="240" w:lineRule="auto"/>
              <w:jc w:val="center"/>
              <w:rPr>
                <w:rFonts w:ascii="Open Sans" w:hAnsi="Open Sans" w:cs="Open Sans"/>
                <w:color w:val="000000"/>
              </w:rPr>
            </w:pPr>
            <w:r w:rsidRPr="000365AB">
              <w:rPr>
                <w:rFonts w:ascii="Open Sans" w:hAnsi="Open Sans" w:cs="Open Sans"/>
                <w:color w:val="000000"/>
              </w:rPr>
              <w:t>9</w:t>
            </w:r>
          </w:p>
        </w:tc>
        <w:tc>
          <w:tcPr>
            <w:tcW w:w="6840" w:type="dxa"/>
            <w:tcBorders>
              <w:top w:val="none" w:sz="6" w:space="0" w:color="auto"/>
              <w:left w:val="none" w:sz="6" w:space="0" w:color="auto"/>
              <w:bottom w:val="none" w:sz="6" w:space="0" w:color="auto"/>
              <w:right w:val="none" w:sz="6" w:space="0" w:color="auto"/>
            </w:tcBorders>
          </w:tcPr>
          <w:p w14:paraId="3529F37E" w14:textId="77777777" w:rsidR="000365AB" w:rsidRPr="000365AB" w:rsidRDefault="000365AB" w:rsidP="000365AB">
            <w:pPr>
              <w:autoSpaceDE w:val="0"/>
              <w:autoSpaceDN w:val="0"/>
              <w:adjustRightInd w:val="0"/>
              <w:spacing w:after="0" w:line="240" w:lineRule="auto"/>
              <w:rPr>
                <w:rFonts w:ascii="Open Sans" w:hAnsi="Open Sans" w:cs="Open Sans"/>
                <w:color w:val="000000"/>
              </w:rPr>
            </w:pPr>
            <w:r w:rsidRPr="000365AB">
              <w:rPr>
                <w:rFonts w:ascii="Open Sans" w:hAnsi="Open Sans" w:cs="Open Sans"/>
                <w:b/>
                <w:bCs/>
                <w:color w:val="000000"/>
              </w:rPr>
              <w:t xml:space="preserve">Aquatic chemistry: </w:t>
            </w:r>
            <w:r w:rsidRPr="000365AB">
              <w:rPr>
                <w:rFonts w:ascii="Open Sans" w:hAnsi="Open Sans" w:cs="Open Sans"/>
                <w:color w:val="000000"/>
              </w:rPr>
              <w:t>acid-base reactions, speciation and complexation in solutions, electrolyte chemistry, dissolution and</w:t>
            </w:r>
            <w:r>
              <w:rPr>
                <w:rFonts w:ascii="Open Sans" w:hAnsi="Open Sans" w:cs="Open Sans"/>
                <w:color w:val="000000"/>
              </w:rPr>
              <w:t xml:space="preserve"> </w:t>
            </w:r>
          </w:p>
          <w:p w14:paraId="426340EE" w14:textId="4457B006" w:rsidR="000365AB" w:rsidRPr="000365AB" w:rsidRDefault="000365AB" w:rsidP="000365AB">
            <w:pPr>
              <w:pStyle w:val="Default"/>
              <w:rPr>
                <w:rFonts w:ascii="Open Sans" w:hAnsi="Open Sans" w:cs="Open Sans"/>
              </w:rPr>
            </w:pPr>
            <w:r w:rsidRPr="000365AB">
              <w:rPr>
                <w:rFonts w:ascii="Open Sans" w:hAnsi="Open Sans" w:cs="Open Sans"/>
                <w:sz w:val="22"/>
                <w:szCs w:val="22"/>
              </w:rPr>
              <w:t xml:space="preserve">precipitation reactions, clays and clay properties, interaction of mineral surfaces with solutions, the carbonate system, marine chemistry. </w:t>
            </w:r>
          </w:p>
        </w:tc>
        <w:tc>
          <w:tcPr>
            <w:tcW w:w="2880" w:type="dxa"/>
            <w:tcBorders>
              <w:top w:val="none" w:sz="6" w:space="0" w:color="auto"/>
              <w:left w:val="none" w:sz="6" w:space="0" w:color="auto"/>
              <w:bottom w:val="none" w:sz="6" w:space="0" w:color="auto"/>
            </w:tcBorders>
          </w:tcPr>
          <w:p w14:paraId="74BEB610" w14:textId="3EB593C2" w:rsidR="000365AB" w:rsidRPr="000365AB" w:rsidRDefault="000365AB" w:rsidP="000365AB">
            <w:pPr>
              <w:autoSpaceDE w:val="0"/>
              <w:autoSpaceDN w:val="0"/>
              <w:adjustRightInd w:val="0"/>
              <w:spacing w:after="0" w:line="240" w:lineRule="auto"/>
              <w:jc w:val="center"/>
              <w:rPr>
                <w:rFonts w:ascii="Open Sans" w:hAnsi="Open Sans" w:cs="Open Sans"/>
                <w:color w:val="000000"/>
              </w:rPr>
            </w:pPr>
            <w:r w:rsidRPr="000365AB">
              <w:rPr>
                <w:rFonts w:ascii="Open Sans" w:hAnsi="Open Sans" w:cs="Open Sans"/>
                <w:color w:val="000000"/>
              </w:rPr>
              <w:t>Ch. 7 (138-167)</w:t>
            </w:r>
          </w:p>
        </w:tc>
      </w:tr>
    </w:tbl>
    <w:p w14:paraId="19944EC6" w14:textId="77777777" w:rsidR="000365AB" w:rsidRDefault="000365AB" w:rsidP="00826588">
      <w:pPr>
        <w:spacing w:after="120" w:line="240" w:lineRule="auto"/>
        <w:jc w:val="both"/>
        <w:rPr>
          <w:rFonts w:ascii="Open Sans" w:eastAsia="Calibri" w:hAnsi="Open Sans" w:cs="Open Sans"/>
          <w:color w:val="000000" w:themeColor="text1"/>
        </w:rPr>
      </w:pPr>
    </w:p>
    <w:tbl>
      <w:tblPr>
        <w:tblW w:w="10908"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188"/>
        <w:gridCol w:w="6930"/>
        <w:gridCol w:w="2790"/>
      </w:tblGrid>
      <w:tr w:rsidR="000365AB" w:rsidRPr="000365AB" w14:paraId="19B1D4BF" w14:textId="77777777" w:rsidTr="000365AB">
        <w:tblPrEx>
          <w:tblCellMar>
            <w:top w:w="0" w:type="dxa"/>
            <w:bottom w:w="0" w:type="dxa"/>
          </w:tblCellMar>
        </w:tblPrEx>
        <w:trPr>
          <w:trHeight w:val="710"/>
        </w:trPr>
        <w:tc>
          <w:tcPr>
            <w:tcW w:w="1188" w:type="dxa"/>
            <w:tcBorders>
              <w:top w:val="none" w:sz="6" w:space="0" w:color="auto"/>
              <w:bottom w:val="none" w:sz="6" w:space="0" w:color="auto"/>
              <w:right w:val="none" w:sz="6" w:space="0" w:color="auto"/>
            </w:tcBorders>
          </w:tcPr>
          <w:p w14:paraId="3B22AD63" w14:textId="4E592B85" w:rsidR="000365AB" w:rsidRPr="000365AB" w:rsidRDefault="000365AB" w:rsidP="000365AB">
            <w:pPr>
              <w:autoSpaceDE w:val="0"/>
              <w:autoSpaceDN w:val="0"/>
              <w:adjustRightInd w:val="0"/>
              <w:spacing w:after="0" w:line="240" w:lineRule="auto"/>
              <w:jc w:val="center"/>
              <w:rPr>
                <w:rFonts w:ascii="Open Sans" w:hAnsi="Open Sans" w:cs="Open Sans"/>
                <w:color w:val="000000"/>
              </w:rPr>
            </w:pPr>
            <w:r w:rsidRPr="000365AB">
              <w:rPr>
                <w:rFonts w:ascii="Open Sans" w:hAnsi="Open Sans" w:cs="Open Sans"/>
                <w:color w:val="000000"/>
              </w:rPr>
              <w:lastRenderedPageBreak/>
              <w:t>10</w:t>
            </w:r>
          </w:p>
        </w:tc>
        <w:tc>
          <w:tcPr>
            <w:tcW w:w="6930" w:type="dxa"/>
            <w:tcBorders>
              <w:top w:val="none" w:sz="6" w:space="0" w:color="auto"/>
              <w:left w:val="none" w:sz="6" w:space="0" w:color="auto"/>
              <w:bottom w:val="none" w:sz="6" w:space="0" w:color="auto"/>
              <w:right w:val="none" w:sz="6" w:space="0" w:color="auto"/>
            </w:tcBorders>
          </w:tcPr>
          <w:p w14:paraId="3C628E33" w14:textId="77777777" w:rsidR="000365AB" w:rsidRPr="000365AB" w:rsidRDefault="000365AB" w:rsidP="000365AB">
            <w:pPr>
              <w:autoSpaceDE w:val="0"/>
              <w:autoSpaceDN w:val="0"/>
              <w:adjustRightInd w:val="0"/>
              <w:spacing w:after="0" w:line="240" w:lineRule="auto"/>
              <w:rPr>
                <w:rFonts w:ascii="Open Sans" w:hAnsi="Open Sans" w:cs="Open Sans"/>
                <w:color w:val="000000"/>
              </w:rPr>
            </w:pPr>
            <w:r w:rsidRPr="000365AB">
              <w:rPr>
                <w:rFonts w:ascii="Open Sans" w:hAnsi="Open Sans" w:cs="Open Sans"/>
                <w:b/>
                <w:bCs/>
                <w:color w:val="000000"/>
              </w:rPr>
              <w:t xml:space="preserve">Biogeochemistry: </w:t>
            </w:r>
            <w:r w:rsidRPr="000365AB">
              <w:rPr>
                <w:rFonts w:ascii="Open Sans" w:hAnsi="Open Sans" w:cs="Open Sans"/>
                <w:color w:val="000000"/>
              </w:rPr>
              <w:t xml:space="preserve">the geological record, organic compounds and their nomenclature, important biochemical processes and the chemical properties of organic molecules, biominerals and biomarkers, biological controls on the ocean-atmosphere system, carbon cycle and climate. </w:t>
            </w:r>
          </w:p>
        </w:tc>
        <w:tc>
          <w:tcPr>
            <w:tcW w:w="2790" w:type="dxa"/>
            <w:tcBorders>
              <w:top w:val="none" w:sz="6" w:space="0" w:color="auto"/>
              <w:left w:val="none" w:sz="6" w:space="0" w:color="auto"/>
              <w:bottom w:val="none" w:sz="6" w:space="0" w:color="auto"/>
            </w:tcBorders>
          </w:tcPr>
          <w:p w14:paraId="2BF60F33" w14:textId="15E272D2" w:rsidR="000365AB" w:rsidRPr="000365AB" w:rsidRDefault="000365AB" w:rsidP="000365AB">
            <w:pPr>
              <w:autoSpaceDE w:val="0"/>
              <w:autoSpaceDN w:val="0"/>
              <w:adjustRightInd w:val="0"/>
              <w:spacing w:after="0" w:line="240" w:lineRule="auto"/>
              <w:jc w:val="center"/>
              <w:rPr>
                <w:rFonts w:ascii="Open Sans" w:hAnsi="Open Sans" w:cs="Open Sans"/>
                <w:color w:val="000000"/>
              </w:rPr>
            </w:pPr>
            <w:r w:rsidRPr="000365AB">
              <w:rPr>
                <w:rFonts w:ascii="Open Sans" w:hAnsi="Open Sans" w:cs="Open Sans"/>
                <w:color w:val="000000"/>
              </w:rPr>
              <w:t>Ch. 8 (168-183)</w:t>
            </w:r>
          </w:p>
        </w:tc>
      </w:tr>
      <w:tr w:rsidR="000365AB" w:rsidRPr="000365AB" w14:paraId="7975CF7B" w14:textId="77777777" w:rsidTr="000365AB">
        <w:tblPrEx>
          <w:tblCellMar>
            <w:top w:w="0" w:type="dxa"/>
            <w:bottom w:w="0" w:type="dxa"/>
          </w:tblCellMar>
        </w:tblPrEx>
        <w:trPr>
          <w:trHeight w:val="408"/>
        </w:trPr>
        <w:tc>
          <w:tcPr>
            <w:tcW w:w="1188" w:type="dxa"/>
            <w:tcBorders>
              <w:top w:val="none" w:sz="6" w:space="0" w:color="auto"/>
              <w:bottom w:val="none" w:sz="6" w:space="0" w:color="auto"/>
              <w:right w:val="none" w:sz="6" w:space="0" w:color="auto"/>
            </w:tcBorders>
          </w:tcPr>
          <w:p w14:paraId="563B6639" w14:textId="4DE75F36" w:rsidR="000365AB" w:rsidRPr="000365AB" w:rsidRDefault="000365AB" w:rsidP="000365AB">
            <w:pPr>
              <w:autoSpaceDE w:val="0"/>
              <w:autoSpaceDN w:val="0"/>
              <w:adjustRightInd w:val="0"/>
              <w:spacing w:after="0" w:line="240" w:lineRule="auto"/>
              <w:jc w:val="center"/>
              <w:rPr>
                <w:rFonts w:ascii="Open Sans" w:hAnsi="Open Sans" w:cs="Open Sans"/>
                <w:color w:val="000000"/>
              </w:rPr>
            </w:pPr>
            <w:r w:rsidRPr="000365AB">
              <w:rPr>
                <w:rFonts w:ascii="Open Sans" w:hAnsi="Open Sans" w:cs="Open Sans"/>
                <w:color w:val="000000"/>
              </w:rPr>
              <w:t>11</w:t>
            </w:r>
          </w:p>
        </w:tc>
        <w:tc>
          <w:tcPr>
            <w:tcW w:w="6930" w:type="dxa"/>
            <w:tcBorders>
              <w:top w:val="none" w:sz="6" w:space="0" w:color="auto"/>
              <w:left w:val="none" w:sz="6" w:space="0" w:color="auto"/>
              <w:bottom w:val="none" w:sz="6" w:space="0" w:color="auto"/>
              <w:right w:val="none" w:sz="6" w:space="0" w:color="auto"/>
            </w:tcBorders>
          </w:tcPr>
          <w:p w14:paraId="3FCD7372" w14:textId="77777777" w:rsidR="000365AB" w:rsidRPr="000365AB" w:rsidRDefault="000365AB" w:rsidP="000365AB">
            <w:pPr>
              <w:autoSpaceDE w:val="0"/>
              <w:autoSpaceDN w:val="0"/>
              <w:adjustRightInd w:val="0"/>
              <w:spacing w:after="0" w:line="240" w:lineRule="auto"/>
              <w:rPr>
                <w:rFonts w:ascii="Open Sans" w:hAnsi="Open Sans" w:cs="Open Sans"/>
                <w:color w:val="000000"/>
              </w:rPr>
            </w:pPr>
            <w:r w:rsidRPr="000365AB">
              <w:rPr>
                <w:rFonts w:ascii="Open Sans" w:hAnsi="Open Sans" w:cs="Open Sans"/>
                <w:b/>
                <w:bCs/>
                <w:color w:val="000000"/>
              </w:rPr>
              <w:t xml:space="preserve">Environmental applications of geochemistry: </w:t>
            </w:r>
            <w:r w:rsidRPr="000365AB">
              <w:rPr>
                <w:rFonts w:ascii="Open Sans" w:hAnsi="Open Sans" w:cs="Open Sans"/>
                <w:color w:val="000000"/>
              </w:rPr>
              <w:t xml:space="preserve">characterization of metal leaching and acid rock drainage (MLARD) potential, mine water treatment, water monitoring. </w:t>
            </w:r>
          </w:p>
        </w:tc>
        <w:tc>
          <w:tcPr>
            <w:tcW w:w="2790" w:type="dxa"/>
            <w:tcBorders>
              <w:top w:val="none" w:sz="6" w:space="0" w:color="auto"/>
              <w:left w:val="none" w:sz="6" w:space="0" w:color="auto"/>
              <w:bottom w:val="none" w:sz="6" w:space="0" w:color="auto"/>
            </w:tcBorders>
          </w:tcPr>
          <w:p w14:paraId="47D2B4FB" w14:textId="2B5B9E29" w:rsidR="000365AB" w:rsidRPr="000365AB" w:rsidRDefault="000365AB" w:rsidP="000365AB">
            <w:pPr>
              <w:autoSpaceDE w:val="0"/>
              <w:autoSpaceDN w:val="0"/>
              <w:adjustRightInd w:val="0"/>
              <w:spacing w:after="0" w:line="240" w:lineRule="auto"/>
              <w:jc w:val="center"/>
              <w:rPr>
                <w:rFonts w:ascii="Open Sans" w:hAnsi="Open Sans" w:cs="Open Sans"/>
                <w:color w:val="000000"/>
              </w:rPr>
            </w:pPr>
            <w:r w:rsidRPr="000365AB">
              <w:rPr>
                <w:rFonts w:ascii="Open Sans" w:hAnsi="Open Sans" w:cs="Open Sans"/>
                <w:color w:val="000000"/>
              </w:rPr>
              <w:t>Background resources distributed on Moodle.</w:t>
            </w:r>
          </w:p>
        </w:tc>
      </w:tr>
      <w:tr w:rsidR="000365AB" w:rsidRPr="000365AB" w14:paraId="2BA9F9C6" w14:textId="77777777" w:rsidTr="000365AB">
        <w:tblPrEx>
          <w:tblCellMar>
            <w:top w:w="0" w:type="dxa"/>
            <w:bottom w:w="0" w:type="dxa"/>
          </w:tblCellMar>
        </w:tblPrEx>
        <w:trPr>
          <w:trHeight w:val="710"/>
        </w:trPr>
        <w:tc>
          <w:tcPr>
            <w:tcW w:w="1188" w:type="dxa"/>
            <w:tcBorders>
              <w:top w:val="none" w:sz="6" w:space="0" w:color="auto"/>
              <w:bottom w:val="none" w:sz="6" w:space="0" w:color="auto"/>
              <w:right w:val="none" w:sz="6" w:space="0" w:color="auto"/>
            </w:tcBorders>
          </w:tcPr>
          <w:p w14:paraId="37A59AC5" w14:textId="403C88E9" w:rsidR="000365AB" w:rsidRPr="000365AB" w:rsidRDefault="000365AB" w:rsidP="000365AB">
            <w:pPr>
              <w:autoSpaceDE w:val="0"/>
              <w:autoSpaceDN w:val="0"/>
              <w:adjustRightInd w:val="0"/>
              <w:spacing w:after="0" w:line="240" w:lineRule="auto"/>
              <w:jc w:val="center"/>
              <w:rPr>
                <w:rFonts w:ascii="Open Sans" w:hAnsi="Open Sans" w:cs="Open Sans"/>
                <w:color w:val="000000"/>
              </w:rPr>
            </w:pPr>
            <w:r w:rsidRPr="000365AB">
              <w:rPr>
                <w:rFonts w:ascii="Open Sans" w:hAnsi="Open Sans" w:cs="Open Sans"/>
                <w:color w:val="000000"/>
              </w:rPr>
              <w:t>12</w:t>
            </w:r>
          </w:p>
        </w:tc>
        <w:tc>
          <w:tcPr>
            <w:tcW w:w="6930" w:type="dxa"/>
            <w:tcBorders>
              <w:top w:val="none" w:sz="6" w:space="0" w:color="auto"/>
              <w:left w:val="none" w:sz="6" w:space="0" w:color="auto"/>
              <w:bottom w:val="none" w:sz="6" w:space="0" w:color="auto"/>
              <w:right w:val="none" w:sz="6" w:space="0" w:color="auto"/>
            </w:tcBorders>
          </w:tcPr>
          <w:p w14:paraId="672F3F6C" w14:textId="77777777" w:rsidR="000365AB" w:rsidRPr="000365AB" w:rsidRDefault="000365AB" w:rsidP="000365AB">
            <w:pPr>
              <w:autoSpaceDE w:val="0"/>
              <w:autoSpaceDN w:val="0"/>
              <w:adjustRightInd w:val="0"/>
              <w:spacing w:after="0" w:line="240" w:lineRule="auto"/>
              <w:rPr>
                <w:rFonts w:ascii="Open Sans" w:hAnsi="Open Sans" w:cs="Open Sans"/>
                <w:color w:val="000000"/>
              </w:rPr>
            </w:pPr>
            <w:r w:rsidRPr="000365AB">
              <w:rPr>
                <w:rFonts w:ascii="Open Sans" w:hAnsi="Open Sans" w:cs="Open Sans"/>
                <w:b/>
                <w:bCs/>
                <w:color w:val="000000"/>
              </w:rPr>
              <w:t xml:space="preserve">Methods for geochemical analysis: </w:t>
            </w:r>
            <w:r w:rsidRPr="000365AB">
              <w:rPr>
                <w:rFonts w:ascii="Open Sans" w:hAnsi="Open Sans" w:cs="Open Sans"/>
                <w:color w:val="000000"/>
              </w:rPr>
              <w:t xml:space="preserve">atomic absorption spectroscopy, X-ray fluorescence spectroscopy, electron microprobe analysis (wavelength and energy-dispersive spectroscopy), mass spectrometry (ICP-MS, TIMS), Raman spectroscopy. </w:t>
            </w:r>
          </w:p>
        </w:tc>
        <w:tc>
          <w:tcPr>
            <w:tcW w:w="2790" w:type="dxa"/>
            <w:tcBorders>
              <w:top w:val="none" w:sz="6" w:space="0" w:color="auto"/>
              <w:left w:val="none" w:sz="6" w:space="0" w:color="auto"/>
              <w:bottom w:val="none" w:sz="6" w:space="0" w:color="auto"/>
            </w:tcBorders>
          </w:tcPr>
          <w:p w14:paraId="1AA0F37E" w14:textId="74CF4363" w:rsidR="000365AB" w:rsidRPr="000365AB" w:rsidRDefault="000365AB" w:rsidP="000365AB">
            <w:pPr>
              <w:autoSpaceDE w:val="0"/>
              <w:autoSpaceDN w:val="0"/>
              <w:adjustRightInd w:val="0"/>
              <w:spacing w:after="0" w:line="240" w:lineRule="auto"/>
              <w:jc w:val="center"/>
              <w:rPr>
                <w:rFonts w:ascii="Open Sans" w:hAnsi="Open Sans" w:cs="Open Sans"/>
                <w:color w:val="000000"/>
              </w:rPr>
            </w:pPr>
            <w:r w:rsidRPr="000365AB">
              <w:rPr>
                <w:rFonts w:ascii="Open Sans" w:hAnsi="Open Sans" w:cs="Open Sans"/>
                <w:color w:val="000000"/>
              </w:rPr>
              <w:t>Background resources distributed on Moodle.</w:t>
            </w:r>
          </w:p>
        </w:tc>
      </w:tr>
    </w:tbl>
    <w:p w14:paraId="2F58615C" w14:textId="4F277164" w:rsidR="000365AB" w:rsidRDefault="000365AB" w:rsidP="00826588">
      <w:pPr>
        <w:spacing w:after="120" w:line="240" w:lineRule="auto"/>
        <w:jc w:val="both"/>
        <w:rPr>
          <w:rFonts w:ascii="Open Sans" w:eastAsia="Calibri" w:hAnsi="Open Sans" w:cs="Open Sans"/>
          <w:color w:val="000000" w:themeColor="text1"/>
        </w:rPr>
      </w:pPr>
    </w:p>
    <w:p w14:paraId="3735E0B2" w14:textId="77777777" w:rsidR="000365AB" w:rsidRDefault="000365AB">
      <w:pPr>
        <w:rPr>
          <w:rFonts w:ascii="Open Sans" w:eastAsia="Calibri" w:hAnsi="Open Sans" w:cs="Open Sans"/>
          <w:color w:val="000000" w:themeColor="text1"/>
        </w:rPr>
      </w:pPr>
      <w:r>
        <w:rPr>
          <w:rFonts w:ascii="Open Sans" w:eastAsia="Calibri" w:hAnsi="Open Sans" w:cs="Open Sans"/>
          <w:color w:val="000000" w:themeColor="text1"/>
        </w:rPr>
        <w:br w:type="page"/>
      </w:r>
    </w:p>
    <w:p w14:paraId="2CA849E4" w14:textId="4DEC0CD0" w:rsidR="000365AB" w:rsidRDefault="000365AB" w:rsidP="00826588">
      <w:pPr>
        <w:spacing w:after="120" w:line="240" w:lineRule="auto"/>
        <w:jc w:val="both"/>
        <w:rPr>
          <w:rFonts w:ascii="Open Sans" w:eastAsia="Calibri" w:hAnsi="Open Sans" w:cs="Open Sans"/>
          <w:b/>
          <w:bCs/>
          <w:color w:val="000000" w:themeColor="text1"/>
          <w:lang w:val="en-GB"/>
        </w:rPr>
      </w:pPr>
      <w:r>
        <w:rPr>
          <w:rFonts w:ascii="Open Sans" w:eastAsia="Calibri" w:hAnsi="Open Sans" w:cs="Open Sans"/>
          <w:b/>
          <w:bCs/>
          <w:color w:val="000000" w:themeColor="text1"/>
          <w:lang w:val="en-GB"/>
        </w:rPr>
        <w:lastRenderedPageBreak/>
        <w:t>LABORATORY TOPICS</w:t>
      </w:r>
    </w:p>
    <w:tbl>
      <w:tblPr>
        <w:tblW w:w="10908"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98"/>
        <w:gridCol w:w="9810"/>
      </w:tblGrid>
      <w:tr w:rsidR="000365AB" w:rsidRPr="000365AB" w14:paraId="7A4612B1" w14:textId="77777777" w:rsidTr="000365AB">
        <w:tblPrEx>
          <w:tblCellMar>
            <w:top w:w="0" w:type="dxa"/>
            <w:bottom w:w="0" w:type="dxa"/>
          </w:tblCellMar>
        </w:tblPrEx>
        <w:trPr>
          <w:trHeight w:val="110"/>
        </w:trPr>
        <w:tc>
          <w:tcPr>
            <w:tcW w:w="1098" w:type="dxa"/>
            <w:tcBorders>
              <w:top w:val="none" w:sz="6" w:space="0" w:color="auto"/>
              <w:bottom w:val="none" w:sz="6" w:space="0" w:color="auto"/>
              <w:right w:val="none" w:sz="6" w:space="0" w:color="auto"/>
            </w:tcBorders>
          </w:tcPr>
          <w:p w14:paraId="54A107B6" w14:textId="77777777" w:rsidR="000365AB" w:rsidRPr="000365AB" w:rsidRDefault="000365AB" w:rsidP="000365AB">
            <w:pPr>
              <w:autoSpaceDE w:val="0"/>
              <w:autoSpaceDN w:val="0"/>
              <w:adjustRightInd w:val="0"/>
              <w:spacing w:after="0" w:line="240" w:lineRule="auto"/>
              <w:rPr>
                <w:rFonts w:ascii="Open Sans" w:hAnsi="Open Sans" w:cs="Open Sans"/>
                <w:color w:val="000000"/>
              </w:rPr>
            </w:pPr>
            <w:r w:rsidRPr="000365AB">
              <w:rPr>
                <w:rFonts w:ascii="Open Sans" w:hAnsi="Open Sans" w:cs="Open Sans"/>
                <w:b/>
                <w:bCs/>
                <w:color w:val="000000"/>
              </w:rPr>
              <w:t xml:space="preserve">Week </w:t>
            </w:r>
          </w:p>
        </w:tc>
        <w:tc>
          <w:tcPr>
            <w:tcW w:w="9810" w:type="dxa"/>
            <w:tcBorders>
              <w:top w:val="none" w:sz="6" w:space="0" w:color="auto"/>
              <w:left w:val="none" w:sz="6" w:space="0" w:color="auto"/>
              <w:bottom w:val="none" w:sz="6" w:space="0" w:color="auto"/>
            </w:tcBorders>
          </w:tcPr>
          <w:p w14:paraId="40B1A650" w14:textId="657CA533" w:rsidR="000365AB" w:rsidRPr="000365AB" w:rsidRDefault="000365AB" w:rsidP="000365AB">
            <w:pPr>
              <w:autoSpaceDE w:val="0"/>
              <w:autoSpaceDN w:val="0"/>
              <w:adjustRightInd w:val="0"/>
              <w:spacing w:after="0" w:line="240" w:lineRule="auto"/>
              <w:jc w:val="center"/>
              <w:rPr>
                <w:rFonts w:ascii="Open Sans" w:hAnsi="Open Sans" w:cs="Open Sans"/>
                <w:color w:val="000000"/>
              </w:rPr>
            </w:pPr>
            <w:r w:rsidRPr="000365AB">
              <w:rPr>
                <w:rFonts w:ascii="Open Sans" w:hAnsi="Open Sans" w:cs="Open Sans"/>
                <w:b/>
                <w:bCs/>
                <w:color w:val="000000"/>
              </w:rPr>
              <w:t>Topic</w:t>
            </w:r>
          </w:p>
        </w:tc>
      </w:tr>
      <w:tr w:rsidR="000365AB" w:rsidRPr="000365AB" w14:paraId="23582ACA" w14:textId="77777777" w:rsidTr="000365AB">
        <w:tblPrEx>
          <w:tblCellMar>
            <w:top w:w="0" w:type="dxa"/>
            <w:bottom w:w="0" w:type="dxa"/>
          </w:tblCellMar>
        </w:tblPrEx>
        <w:trPr>
          <w:trHeight w:val="260"/>
        </w:trPr>
        <w:tc>
          <w:tcPr>
            <w:tcW w:w="1098" w:type="dxa"/>
            <w:tcBorders>
              <w:top w:val="none" w:sz="6" w:space="0" w:color="auto"/>
              <w:bottom w:val="none" w:sz="6" w:space="0" w:color="auto"/>
              <w:right w:val="none" w:sz="6" w:space="0" w:color="auto"/>
            </w:tcBorders>
          </w:tcPr>
          <w:p w14:paraId="6D480303" w14:textId="0E0350C7" w:rsidR="000365AB" w:rsidRPr="000365AB" w:rsidRDefault="000365AB" w:rsidP="000365AB">
            <w:pPr>
              <w:autoSpaceDE w:val="0"/>
              <w:autoSpaceDN w:val="0"/>
              <w:adjustRightInd w:val="0"/>
              <w:spacing w:after="0" w:line="240" w:lineRule="auto"/>
              <w:jc w:val="center"/>
              <w:rPr>
                <w:rFonts w:ascii="Open Sans" w:hAnsi="Open Sans" w:cs="Open Sans"/>
                <w:color w:val="000000"/>
              </w:rPr>
            </w:pPr>
            <w:r w:rsidRPr="000365AB">
              <w:rPr>
                <w:rFonts w:ascii="Open Sans" w:hAnsi="Open Sans" w:cs="Open Sans"/>
                <w:color w:val="000000"/>
              </w:rPr>
              <w:t>1</w:t>
            </w:r>
          </w:p>
        </w:tc>
        <w:tc>
          <w:tcPr>
            <w:tcW w:w="9810" w:type="dxa"/>
            <w:tcBorders>
              <w:top w:val="none" w:sz="6" w:space="0" w:color="auto"/>
              <w:left w:val="none" w:sz="6" w:space="0" w:color="auto"/>
              <w:bottom w:val="none" w:sz="6" w:space="0" w:color="auto"/>
            </w:tcBorders>
          </w:tcPr>
          <w:p w14:paraId="7EA88DE3" w14:textId="77777777" w:rsidR="000365AB" w:rsidRPr="000365AB" w:rsidRDefault="000365AB" w:rsidP="000365AB">
            <w:pPr>
              <w:autoSpaceDE w:val="0"/>
              <w:autoSpaceDN w:val="0"/>
              <w:adjustRightInd w:val="0"/>
              <w:spacing w:after="0" w:line="240" w:lineRule="auto"/>
              <w:rPr>
                <w:rFonts w:ascii="Open Sans" w:hAnsi="Open Sans" w:cs="Open Sans"/>
                <w:color w:val="000000"/>
              </w:rPr>
            </w:pPr>
            <w:r w:rsidRPr="000365AB">
              <w:rPr>
                <w:rFonts w:ascii="Open Sans" w:hAnsi="Open Sans" w:cs="Open Sans"/>
                <w:b/>
                <w:bCs/>
                <w:color w:val="000000"/>
              </w:rPr>
              <w:t xml:space="preserve">Sample preparation practices: </w:t>
            </w:r>
            <w:r w:rsidRPr="000365AB">
              <w:rPr>
                <w:rFonts w:ascii="Open Sans" w:hAnsi="Open Sans" w:cs="Open Sans"/>
                <w:color w:val="000000"/>
              </w:rPr>
              <w:t>field trip to ALS Minerals preparation facility in Whitehorse (</w:t>
            </w:r>
            <w:r w:rsidRPr="000365AB">
              <w:rPr>
                <w:rFonts w:ascii="Open Sans" w:hAnsi="Open Sans" w:cs="Open Sans"/>
                <w:i/>
                <w:iCs/>
                <w:color w:val="000000"/>
              </w:rPr>
              <w:t>no assessment but participation required)</w:t>
            </w:r>
            <w:r w:rsidRPr="000365AB">
              <w:rPr>
                <w:rFonts w:ascii="Open Sans" w:hAnsi="Open Sans" w:cs="Open Sans"/>
                <w:color w:val="000000"/>
              </w:rPr>
              <w:t xml:space="preserve">. </w:t>
            </w:r>
          </w:p>
        </w:tc>
      </w:tr>
      <w:tr w:rsidR="000365AB" w:rsidRPr="000365AB" w14:paraId="7E2C7EBB" w14:textId="77777777" w:rsidTr="000365AB">
        <w:tblPrEx>
          <w:tblCellMar>
            <w:top w:w="0" w:type="dxa"/>
            <w:bottom w:w="0" w:type="dxa"/>
          </w:tblCellMar>
        </w:tblPrEx>
        <w:trPr>
          <w:trHeight w:val="260"/>
        </w:trPr>
        <w:tc>
          <w:tcPr>
            <w:tcW w:w="1098" w:type="dxa"/>
            <w:tcBorders>
              <w:top w:val="none" w:sz="6" w:space="0" w:color="auto"/>
              <w:bottom w:val="none" w:sz="6" w:space="0" w:color="auto"/>
              <w:right w:val="none" w:sz="6" w:space="0" w:color="auto"/>
            </w:tcBorders>
          </w:tcPr>
          <w:p w14:paraId="086E3B76" w14:textId="303EA7D4" w:rsidR="000365AB" w:rsidRPr="000365AB" w:rsidRDefault="000365AB" w:rsidP="000365AB">
            <w:pPr>
              <w:autoSpaceDE w:val="0"/>
              <w:autoSpaceDN w:val="0"/>
              <w:adjustRightInd w:val="0"/>
              <w:spacing w:after="0" w:line="240" w:lineRule="auto"/>
              <w:jc w:val="center"/>
              <w:rPr>
                <w:rFonts w:ascii="Open Sans" w:hAnsi="Open Sans" w:cs="Open Sans"/>
                <w:color w:val="000000"/>
              </w:rPr>
            </w:pPr>
            <w:r w:rsidRPr="000365AB">
              <w:rPr>
                <w:rFonts w:ascii="Open Sans" w:hAnsi="Open Sans" w:cs="Open Sans"/>
                <w:color w:val="000000"/>
              </w:rPr>
              <w:t>2</w:t>
            </w:r>
          </w:p>
        </w:tc>
        <w:tc>
          <w:tcPr>
            <w:tcW w:w="9810" w:type="dxa"/>
            <w:tcBorders>
              <w:top w:val="none" w:sz="6" w:space="0" w:color="auto"/>
              <w:left w:val="none" w:sz="6" w:space="0" w:color="auto"/>
              <w:bottom w:val="none" w:sz="6" w:space="0" w:color="auto"/>
            </w:tcBorders>
          </w:tcPr>
          <w:p w14:paraId="07EBDA90" w14:textId="77777777" w:rsidR="000365AB" w:rsidRPr="000365AB" w:rsidRDefault="000365AB" w:rsidP="000365AB">
            <w:pPr>
              <w:autoSpaceDE w:val="0"/>
              <w:autoSpaceDN w:val="0"/>
              <w:adjustRightInd w:val="0"/>
              <w:spacing w:after="0" w:line="240" w:lineRule="auto"/>
              <w:rPr>
                <w:rFonts w:ascii="Open Sans" w:hAnsi="Open Sans" w:cs="Open Sans"/>
                <w:color w:val="000000"/>
              </w:rPr>
            </w:pPr>
            <w:r w:rsidRPr="000365AB">
              <w:rPr>
                <w:rFonts w:ascii="Open Sans" w:hAnsi="Open Sans" w:cs="Open Sans"/>
                <w:b/>
                <w:bCs/>
                <w:color w:val="000000"/>
              </w:rPr>
              <w:t xml:space="preserve">In-house sample preparation: </w:t>
            </w:r>
            <w:r w:rsidRPr="000365AB">
              <w:rPr>
                <w:rFonts w:ascii="Open Sans" w:hAnsi="Open Sans" w:cs="Open Sans"/>
                <w:color w:val="000000"/>
              </w:rPr>
              <w:t xml:space="preserve">laboratory safety procedures; cutting, crushing and grinding of student samples; loss-on-ignition (LOI) analyses with ferrous-ferric iron corrections. </w:t>
            </w:r>
          </w:p>
        </w:tc>
      </w:tr>
      <w:tr w:rsidR="000365AB" w:rsidRPr="000365AB" w14:paraId="3F5C19EE" w14:textId="77777777" w:rsidTr="000365AB">
        <w:tblPrEx>
          <w:tblCellMar>
            <w:top w:w="0" w:type="dxa"/>
            <w:bottom w:w="0" w:type="dxa"/>
          </w:tblCellMar>
        </w:tblPrEx>
        <w:trPr>
          <w:trHeight w:val="260"/>
        </w:trPr>
        <w:tc>
          <w:tcPr>
            <w:tcW w:w="1098" w:type="dxa"/>
            <w:tcBorders>
              <w:top w:val="none" w:sz="6" w:space="0" w:color="auto"/>
              <w:bottom w:val="none" w:sz="6" w:space="0" w:color="auto"/>
              <w:right w:val="none" w:sz="6" w:space="0" w:color="auto"/>
            </w:tcBorders>
          </w:tcPr>
          <w:p w14:paraId="0C06C386" w14:textId="6EB93911" w:rsidR="000365AB" w:rsidRPr="000365AB" w:rsidRDefault="000365AB" w:rsidP="000365AB">
            <w:pPr>
              <w:autoSpaceDE w:val="0"/>
              <w:autoSpaceDN w:val="0"/>
              <w:adjustRightInd w:val="0"/>
              <w:spacing w:after="0" w:line="240" w:lineRule="auto"/>
              <w:jc w:val="center"/>
              <w:rPr>
                <w:rFonts w:ascii="Open Sans" w:hAnsi="Open Sans" w:cs="Open Sans"/>
                <w:color w:val="000000"/>
              </w:rPr>
            </w:pPr>
            <w:r w:rsidRPr="000365AB">
              <w:rPr>
                <w:rFonts w:ascii="Open Sans" w:hAnsi="Open Sans" w:cs="Open Sans"/>
                <w:color w:val="000000"/>
              </w:rPr>
              <w:t>3</w:t>
            </w:r>
          </w:p>
        </w:tc>
        <w:tc>
          <w:tcPr>
            <w:tcW w:w="9810" w:type="dxa"/>
            <w:tcBorders>
              <w:top w:val="none" w:sz="6" w:space="0" w:color="auto"/>
              <w:left w:val="none" w:sz="6" w:space="0" w:color="auto"/>
              <w:bottom w:val="none" w:sz="6" w:space="0" w:color="auto"/>
            </w:tcBorders>
          </w:tcPr>
          <w:p w14:paraId="7A879B42" w14:textId="77777777" w:rsidR="000365AB" w:rsidRPr="000365AB" w:rsidRDefault="000365AB" w:rsidP="000365AB">
            <w:pPr>
              <w:autoSpaceDE w:val="0"/>
              <w:autoSpaceDN w:val="0"/>
              <w:adjustRightInd w:val="0"/>
              <w:spacing w:after="0" w:line="240" w:lineRule="auto"/>
              <w:rPr>
                <w:rFonts w:ascii="Open Sans" w:hAnsi="Open Sans" w:cs="Open Sans"/>
                <w:color w:val="000000"/>
              </w:rPr>
            </w:pPr>
            <w:r w:rsidRPr="000365AB">
              <w:rPr>
                <w:rFonts w:ascii="Open Sans" w:hAnsi="Open Sans" w:cs="Open Sans"/>
                <w:b/>
                <w:bCs/>
                <w:color w:val="000000"/>
              </w:rPr>
              <w:t>Aqua regia digestions and assay preparation</w:t>
            </w:r>
            <w:r w:rsidRPr="000365AB">
              <w:rPr>
                <w:rFonts w:ascii="Open Sans" w:hAnsi="Open Sans" w:cs="Open Sans"/>
                <w:color w:val="000000"/>
              </w:rPr>
              <w:t xml:space="preserve">: dissolution of powdered, ignited ores for base metal assay analysis using industry-standard hot digestion methods. </w:t>
            </w:r>
          </w:p>
        </w:tc>
      </w:tr>
      <w:tr w:rsidR="000365AB" w:rsidRPr="000365AB" w14:paraId="76F76AF2" w14:textId="77777777" w:rsidTr="000365AB">
        <w:tblPrEx>
          <w:tblCellMar>
            <w:top w:w="0" w:type="dxa"/>
            <w:bottom w:w="0" w:type="dxa"/>
          </w:tblCellMar>
        </w:tblPrEx>
        <w:trPr>
          <w:trHeight w:val="410"/>
        </w:trPr>
        <w:tc>
          <w:tcPr>
            <w:tcW w:w="1098" w:type="dxa"/>
            <w:tcBorders>
              <w:top w:val="none" w:sz="6" w:space="0" w:color="auto"/>
              <w:bottom w:val="none" w:sz="6" w:space="0" w:color="auto"/>
              <w:right w:val="none" w:sz="6" w:space="0" w:color="auto"/>
            </w:tcBorders>
          </w:tcPr>
          <w:p w14:paraId="4B5B891D" w14:textId="52CF4533" w:rsidR="000365AB" w:rsidRPr="000365AB" w:rsidRDefault="000365AB" w:rsidP="000365AB">
            <w:pPr>
              <w:autoSpaceDE w:val="0"/>
              <w:autoSpaceDN w:val="0"/>
              <w:adjustRightInd w:val="0"/>
              <w:spacing w:after="0" w:line="240" w:lineRule="auto"/>
              <w:jc w:val="center"/>
              <w:rPr>
                <w:rFonts w:ascii="Open Sans" w:hAnsi="Open Sans" w:cs="Open Sans"/>
                <w:color w:val="000000"/>
              </w:rPr>
            </w:pPr>
            <w:r w:rsidRPr="000365AB">
              <w:rPr>
                <w:rFonts w:ascii="Open Sans" w:hAnsi="Open Sans" w:cs="Open Sans"/>
                <w:color w:val="000000"/>
              </w:rPr>
              <w:t>4</w:t>
            </w:r>
          </w:p>
        </w:tc>
        <w:tc>
          <w:tcPr>
            <w:tcW w:w="9810" w:type="dxa"/>
            <w:tcBorders>
              <w:top w:val="none" w:sz="6" w:space="0" w:color="auto"/>
              <w:left w:val="none" w:sz="6" w:space="0" w:color="auto"/>
              <w:bottom w:val="none" w:sz="6" w:space="0" w:color="auto"/>
            </w:tcBorders>
          </w:tcPr>
          <w:p w14:paraId="11A80C95" w14:textId="77777777" w:rsidR="000365AB" w:rsidRPr="000365AB" w:rsidRDefault="000365AB" w:rsidP="000365AB">
            <w:pPr>
              <w:autoSpaceDE w:val="0"/>
              <w:autoSpaceDN w:val="0"/>
              <w:adjustRightInd w:val="0"/>
              <w:spacing w:after="0" w:line="240" w:lineRule="auto"/>
              <w:rPr>
                <w:rFonts w:ascii="Open Sans" w:hAnsi="Open Sans" w:cs="Open Sans"/>
                <w:color w:val="000000"/>
              </w:rPr>
            </w:pPr>
            <w:r w:rsidRPr="000365AB">
              <w:rPr>
                <w:rFonts w:ascii="Open Sans" w:hAnsi="Open Sans" w:cs="Open Sans"/>
                <w:b/>
                <w:bCs/>
                <w:color w:val="000000"/>
              </w:rPr>
              <w:t xml:space="preserve">Atomic absorption spectrometry: </w:t>
            </w:r>
            <w:r w:rsidRPr="000365AB">
              <w:rPr>
                <w:rFonts w:ascii="Open Sans" w:hAnsi="Open Sans" w:cs="Open Sans"/>
                <w:color w:val="000000"/>
              </w:rPr>
              <w:t xml:space="preserve">determination of base metal concentrations in powdered ores using flame atomic absorption spectrometry (FAAS); construction of calibration curves using synthesized standards. </w:t>
            </w:r>
          </w:p>
        </w:tc>
      </w:tr>
      <w:tr w:rsidR="000365AB" w:rsidRPr="000365AB" w14:paraId="0ECAF980" w14:textId="77777777" w:rsidTr="000365AB">
        <w:tblPrEx>
          <w:tblCellMar>
            <w:top w:w="0" w:type="dxa"/>
            <w:bottom w:w="0" w:type="dxa"/>
          </w:tblCellMar>
        </w:tblPrEx>
        <w:trPr>
          <w:trHeight w:val="560"/>
        </w:trPr>
        <w:tc>
          <w:tcPr>
            <w:tcW w:w="1098" w:type="dxa"/>
            <w:tcBorders>
              <w:top w:val="none" w:sz="6" w:space="0" w:color="auto"/>
              <w:bottom w:val="none" w:sz="6" w:space="0" w:color="auto"/>
              <w:right w:val="none" w:sz="6" w:space="0" w:color="auto"/>
            </w:tcBorders>
          </w:tcPr>
          <w:p w14:paraId="0CCEB64F" w14:textId="749E9176" w:rsidR="000365AB" w:rsidRPr="000365AB" w:rsidRDefault="000365AB" w:rsidP="000365AB">
            <w:pPr>
              <w:autoSpaceDE w:val="0"/>
              <w:autoSpaceDN w:val="0"/>
              <w:adjustRightInd w:val="0"/>
              <w:spacing w:after="0" w:line="240" w:lineRule="auto"/>
              <w:jc w:val="center"/>
              <w:rPr>
                <w:rFonts w:ascii="Open Sans" w:hAnsi="Open Sans" w:cs="Open Sans"/>
                <w:color w:val="000000"/>
              </w:rPr>
            </w:pPr>
            <w:r w:rsidRPr="000365AB">
              <w:rPr>
                <w:rFonts w:ascii="Open Sans" w:hAnsi="Open Sans" w:cs="Open Sans"/>
                <w:color w:val="000000"/>
              </w:rPr>
              <w:t>5</w:t>
            </w:r>
          </w:p>
        </w:tc>
        <w:tc>
          <w:tcPr>
            <w:tcW w:w="9810" w:type="dxa"/>
            <w:tcBorders>
              <w:top w:val="none" w:sz="6" w:space="0" w:color="auto"/>
              <w:left w:val="none" w:sz="6" w:space="0" w:color="auto"/>
              <w:bottom w:val="none" w:sz="6" w:space="0" w:color="auto"/>
            </w:tcBorders>
          </w:tcPr>
          <w:p w14:paraId="7134B9DB" w14:textId="77777777" w:rsidR="000365AB" w:rsidRPr="000365AB" w:rsidRDefault="000365AB" w:rsidP="000365AB">
            <w:pPr>
              <w:autoSpaceDE w:val="0"/>
              <w:autoSpaceDN w:val="0"/>
              <w:adjustRightInd w:val="0"/>
              <w:spacing w:after="0" w:line="240" w:lineRule="auto"/>
              <w:rPr>
                <w:rFonts w:ascii="Open Sans" w:hAnsi="Open Sans" w:cs="Open Sans"/>
                <w:color w:val="000000"/>
              </w:rPr>
            </w:pPr>
            <w:r w:rsidRPr="000365AB">
              <w:rPr>
                <w:rFonts w:ascii="Open Sans" w:hAnsi="Open Sans" w:cs="Open Sans"/>
                <w:b/>
                <w:bCs/>
                <w:color w:val="000000"/>
              </w:rPr>
              <w:t>Whole rock fusion analysis</w:t>
            </w:r>
            <w:r w:rsidRPr="000365AB">
              <w:rPr>
                <w:rFonts w:ascii="Open Sans" w:hAnsi="Open Sans" w:cs="Open Sans"/>
                <w:color w:val="000000"/>
              </w:rPr>
              <w:t xml:space="preserve">: preparation of samples using whole rock fusion technique; chemical analysis of glass beads using x-ray fluorescence (XRF) spectrometry. Creation of calibration curves from standard suites to improve accuracy of XRF results. Comparison of XRF results on powdered, pelletized, and fused bead samples. </w:t>
            </w:r>
          </w:p>
        </w:tc>
      </w:tr>
      <w:tr w:rsidR="000365AB" w:rsidRPr="000365AB" w14:paraId="08EF154E" w14:textId="77777777" w:rsidTr="000365AB">
        <w:tblPrEx>
          <w:tblCellMar>
            <w:top w:w="0" w:type="dxa"/>
            <w:bottom w:w="0" w:type="dxa"/>
          </w:tblCellMar>
        </w:tblPrEx>
        <w:trPr>
          <w:trHeight w:val="260"/>
        </w:trPr>
        <w:tc>
          <w:tcPr>
            <w:tcW w:w="1098" w:type="dxa"/>
            <w:tcBorders>
              <w:top w:val="none" w:sz="6" w:space="0" w:color="auto"/>
              <w:bottom w:val="none" w:sz="6" w:space="0" w:color="auto"/>
              <w:right w:val="none" w:sz="6" w:space="0" w:color="auto"/>
            </w:tcBorders>
          </w:tcPr>
          <w:p w14:paraId="1BD26F8E" w14:textId="023F5734" w:rsidR="000365AB" w:rsidRPr="000365AB" w:rsidRDefault="000365AB" w:rsidP="000365AB">
            <w:pPr>
              <w:autoSpaceDE w:val="0"/>
              <w:autoSpaceDN w:val="0"/>
              <w:adjustRightInd w:val="0"/>
              <w:spacing w:after="0" w:line="240" w:lineRule="auto"/>
              <w:jc w:val="center"/>
              <w:rPr>
                <w:rFonts w:ascii="Open Sans" w:hAnsi="Open Sans" w:cs="Open Sans"/>
                <w:color w:val="000000"/>
              </w:rPr>
            </w:pPr>
            <w:r w:rsidRPr="000365AB">
              <w:rPr>
                <w:rFonts w:ascii="Open Sans" w:hAnsi="Open Sans" w:cs="Open Sans"/>
                <w:color w:val="000000"/>
              </w:rPr>
              <w:t>6</w:t>
            </w:r>
          </w:p>
        </w:tc>
        <w:tc>
          <w:tcPr>
            <w:tcW w:w="9810" w:type="dxa"/>
            <w:tcBorders>
              <w:top w:val="none" w:sz="6" w:space="0" w:color="auto"/>
              <w:left w:val="none" w:sz="6" w:space="0" w:color="auto"/>
              <w:bottom w:val="none" w:sz="6" w:space="0" w:color="auto"/>
            </w:tcBorders>
          </w:tcPr>
          <w:p w14:paraId="730E5C12" w14:textId="77777777" w:rsidR="000365AB" w:rsidRPr="000365AB" w:rsidRDefault="000365AB" w:rsidP="000365AB">
            <w:pPr>
              <w:autoSpaceDE w:val="0"/>
              <w:autoSpaceDN w:val="0"/>
              <w:adjustRightInd w:val="0"/>
              <w:spacing w:after="0" w:line="240" w:lineRule="auto"/>
              <w:rPr>
                <w:rFonts w:ascii="Open Sans" w:hAnsi="Open Sans" w:cs="Open Sans"/>
                <w:color w:val="000000"/>
              </w:rPr>
            </w:pPr>
            <w:r w:rsidRPr="000365AB">
              <w:rPr>
                <w:rFonts w:ascii="Open Sans" w:hAnsi="Open Sans" w:cs="Open Sans"/>
                <w:b/>
                <w:bCs/>
                <w:color w:val="000000"/>
              </w:rPr>
              <w:t xml:space="preserve">Stable isotopes: </w:t>
            </w:r>
            <w:r w:rsidRPr="000365AB">
              <w:rPr>
                <w:rFonts w:ascii="Open Sans" w:hAnsi="Open Sans" w:cs="Open Sans"/>
                <w:color w:val="000000"/>
              </w:rPr>
              <w:t xml:space="preserve">exercise to identify patterns of marine oxygen isotope change from benthic </w:t>
            </w:r>
            <w:proofErr w:type="spellStart"/>
            <w:r w:rsidRPr="000365AB">
              <w:rPr>
                <w:rFonts w:ascii="Open Sans" w:hAnsi="Open Sans" w:cs="Open Sans"/>
                <w:color w:val="000000"/>
              </w:rPr>
              <w:t>forams</w:t>
            </w:r>
            <w:proofErr w:type="spellEnd"/>
            <w:r w:rsidRPr="000365AB">
              <w:rPr>
                <w:rFonts w:ascii="Open Sans" w:hAnsi="Open Sans" w:cs="Open Sans"/>
                <w:color w:val="000000"/>
              </w:rPr>
              <w:t xml:space="preserve">; relating these changes to patterns of ice-volume change in the Quaternary. </w:t>
            </w:r>
          </w:p>
        </w:tc>
      </w:tr>
      <w:tr w:rsidR="000365AB" w:rsidRPr="000365AB" w14:paraId="602E35A7" w14:textId="77777777" w:rsidTr="000365AB">
        <w:tblPrEx>
          <w:tblCellMar>
            <w:top w:w="0" w:type="dxa"/>
            <w:bottom w:w="0" w:type="dxa"/>
          </w:tblCellMar>
        </w:tblPrEx>
        <w:trPr>
          <w:trHeight w:val="260"/>
        </w:trPr>
        <w:tc>
          <w:tcPr>
            <w:tcW w:w="1098" w:type="dxa"/>
            <w:tcBorders>
              <w:top w:val="none" w:sz="6" w:space="0" w:color="auto"/>
              <w:bottom w:val="none" w:sz="6" w:space="0" w:color="auto"/>
              <w:right w:val="none" w:sz="6" w:space="0" w:color="auto"/>
            </w:tcBorders>
          </w:tcPr>
          <w:p w14:paraId="57110110" w14:textId="530118C4" w:rsidR="000365AB" w:rsidRPr="000365AB" w:rsidRDefault="000365AB" w:rsidP="000365AB">
            <w:pPr>
              <w:autoSpaceDE w:val="0"/>
              <w:autoSpaceDN w:val="0"/>
              <w:adjustRightInd w:val="0"/>
              <w:spacing w:after="0" w:line="240" w:lineRule="auto"/>
              <w:jc w:val="center"/>
              <w:rPr>
                <w:rFonts w:ascii="Open Sans" w:hAnsi="Open Sans" w:cs="Open Sans"/>
                <w:color w:val="000000"/>
              </w:rPr>
            </w:pPr>
            <w:r w:rsidRPr="000365AB">
              <w:rPr>
                <w:rFonts w:ascii="Open Sans" w:hAnsi="Open Sans" w:cs="Open Sans"/>
                <w:color w:val="000000"/>
              </w:rPr>
              <w:t>7</w:t>
            </w:r>
          </w:p>
        </w:tc>
        <w:tc>
          <w:tcPr>
            <w:tcW w:w="9810" w:type="dxa"/>
            <w:tcBorders>
              <w:top w:val="none" w:sz="6" w:space="0" w:color="auto"/>
              <w:left w:val="none" w:sz="6" w:space="0" w:color="auto"/>
              <w:bottom w:val="none" w:sz="6" w:space="0" w:color="auto"/>
            </w:tcBorders>
          </w:tcPr>
          <w:p w14:paraId="4262B7B3" w14:textId="77777777" w:rsidR="000365AB" w:rsidRPr="000365AB" w:rsidRDefault="000365AB" w:rsidP="000365AB">
            <w:pPr>
              <w:autoSpaceDE w:val="0"/>
              <w:autoSpaceDN w:val="0"/>
              <w:adjustRightInd w:val="0"/>
              <w:spacing w:after="0" w:line="240" w:lineRule="auto"/>
              <w:rPr>
                <w:rFonts w:ascii="Open Sans" w:hAnsi="Open Sans" w:cs="Open Sans"/>
                <w:color w:val="000000"/>
              </w:rPr>
            </w:pPr>
            <w:r w:rsidRPr="000365AB">
              <w:rPr>
                <w:rFonts w:ascii="Open Sans" w:hAnsi="Open Sans" w:cs="Open Sans"/>
                <w:b/>
                <w:bCs/>
                <w:color w:val="000000"/>
              </w:rPr>
              <w:t>Radiogenic isotopes</w:t>
            </w:r>
            <w:r w:rsidRPr="000365AB">
              <w:rPr>
                <w:rFonts w:ascii="Open Sans" w:hAnsi="Open Sans" w:cs="Open Sans"/>
                <w:color w:val="000000"/>
              </w:rPr>
              <w:t xml:space="preserve">: use of Rb-Sr isotope data and whole-rock isochrons to calculate isochron ages and make inferences about magma source regions. </w:t>
            </w:r>
          </w:p>
        </w:tc>
      </w:tr>
      <w:tr w:rsidR="000365AB" w:rsidRPr="000365AB" w14:paraId="690D183E" w14:textId="77777777" w:rsidTr="000365AB">
        <w:tblPrEx>
          <w:tblCellMar>
            <w:top w:w="0" w:type="dxa"/>
            <w:bottom w:w="0" w:type="dxa"/>
          </w:tblCellMar>
        </w:tblPrEx>
        <w:trPr>
          <w:trHeight w:val="408"/>
        </w:trPr>
        <w:tc>
          <w:tcPr>
            <w:tcW w:w="1098" w:type="dxa"/>
            <w:tcBorders>
              <w:top w:val="none" w:sz="6" w:space="0" w:color="auto"/>
              <w:bottom w:val="none" w:sz="6" w:space="0" w:color="auto"/>
              <w:right w:val="none" w:sz="6" w:space="0" w:color="auto"/>
            </w:tcBorders>
          </w:tcPr>
          <w:p w14:paraId="67CD2986" w14:textId="6C1FFDDB" w:rsidR="000365AB" w:rsidRPr="000365AB" w:rsidRDefault="000365AB" w:rsidP="000365AB">
            <w:pPr>
              <w:autoSpaceDE w:val="0"/>
              <w:autoSpaceDN w:val="0"/>
              <w:adjustRightInd w:val="0"/>
              <w:spacing w:after="0" w:line="240" w:lineRule="auto"/>
              <w:jc w:val="center"/>
              <w:rPr>
                <w:rFonts w:ascii="Open Sans" w:hAnsi="Open Sans" w:cs="Open Sans"/>
                <w:color w:val="000000"/>
              </w:rPr>
            </w:pPr>
            <w:r w:rsidRPr="000365AB">
              <w:rPr>
                <w:rFonts w:ascii="Open Sans" w:hAnsi="Open Sans" w:cs="Open Sans"/>
                <w:color w:val="000000"/>
              </w:rPr>
              <w:t>8</w:t>
            </w:r>
          </w:p>
        </w:tc>
        <w:tc>
          <w:tcPr>
            <w:tcW w:w="9810" w:type="dxa"/>
            <w:tcBorders>
              <w:top w:val="none" w:sz="6" w:space="0" w:color="auto"/>
              <w:left w:val="none" w:sz="6" w:space="0" w:color="auto"/>
              <w:bottom w:val="none" w:sz="6" w:space="0" w:color="auto"/>
            </w:tcBorders>
          </w:tcPr>
          <w:p w14:paraId="44BEDC10" w14:textId="77777777" w:rsidR="000365AB" w:rsidRPr="000365AB" w:rsidRDefault="000365AB" w:rsidP="000365AB">
            <w:pPr>
              <w:autoSpaceDE w:val="0"/>
              <w:autoSpaceDN w:val="0"/>
              <w:adjustRightInd w:val="0"/>
              <w:spacing w:after="0" w:line="240" w:lineRule="auto"/>
              <w:rPr>
                <w:rFonts w:ascii="Open Sans" w:hAnsi="Open Sans" w:cs="Open Sans"/>
                <w:color w:val="000000"/>
              </w:rPr>
            </w:pPr>
            <w:r w:rsidRPr="000365AB">
              <w:rPr>
                <w:rFonts w:ascii="Open Sans" w:hAnsi="Open Sans" w:cs="Open Sans"/>
                <w:b/>
                <w:bCs/>
                <w:color w:val="000000"/>
              </w:rPr>
              <w:t>Tectonic discrimination analysis</w:t>
            </w:r>
            <w:r w:rsidRPr="000365AB">
              <w:rPr>
                <w:rFonts w:ascii="Open Sans" w:hAnsi="Open Sans" w:cs="Open Sans"/>
                <w:color w:val="000000"/>
              </w:rPr>
              <w:t xml:space="preserve">: use of major and trace element whole-rock data to classify igneous rocks and make informed interpretations about tectonic (eruptive) setting. Includes construction of ternary plots, spider diagrams using ioGAS geochemical software. </w:t>
            </w:r>
          </w:p>
        </w:tc>
      </w:tr>
      <w:tr w:rsidR="000365AB" w:rsidRPr="000365AB" w14:paraId="25F96959" w14:textId="77777777" w:rsidTr="000365AB">
        <w:tblPrEx>
          <w:tblCellMar>
            <w:top w:w="0" w:type="dxa"/>
            <w:bottom w:w="0" w:type="dxa"/>
          </w:tblCellMar>
        </w:tblPrEx>
        <w:trPr>
          <w:trHeight w:val="560"/>
        </w:trPr>
        <w:tc>
          <w:tcPr>
            <w:tcW w:w="1098" w:type="dxa"/>
            <w:tcBorders>
              <w:top w:val="none" w:sz="6" w:space="0" w:color="auto"/>
              <w:bottom w:val="none" w:sz="6" w:space="0" w:color="auto"/>
              <w:right w:val="none" w:sz="6" w:space="0" w:color="auto"/>
            </w:tcBorders>
          </w:tcPr>
          <w:p w14:paraId="3667F8D6" w14:textId="225AA58F" w:rsidR="000365AB" w:rsidRPr="000365AB" w:rsidRDefault="000365AB" w:rsidP="000365AB">
            <w:pPr>
              <w:autoSpaceDE w:val="0"/>
              <w:autoSpaceDN w:val="0"/>
              <w:adjustRightInd w:val="0"/>
              <w:spacing w:after="0" w:line="240" w:lineRule="auto"/>
              <w:jc w:val="center"/>
              <w:rPr>
                <w:rFonts w:ascii="Open Sans" w:hAnsi="Open Sans" w:cs="Open Sans"/>
                <w:color w:val="000000"/>
              </w:rPr>
            </w:pPr>
            <w:r w:rsidRPr="000365AB">
              <w:rPr>
                <w:rFonts w:ascii="Open Sans" w:hAnsi="Open Sans" w:cs="Open Sans"/>
                <w:color w:val="000000"/>
              </w:rPr>
              <w:t>9</w:t>
            </w:r>
          </w:p>
        </w:tc>
        <w:tc>
          <w:tcPr>
            <w:tcW w:w="9810" w:type="dxa"/>
            <w:tcBorders>
              <w:top w:val="none" w:sz="6" w:space="0" w:color="auto"/>
              <w:left w:val="none" w:sz="6" w:space="0" w:color="auto"/>
              <w:bottom w:val="none" w:sz="6" w:space="0" w:color="auto"/>
            </w:tcBorders>
          </w:tcPr>
          <w:p w14:paraId="4DC1FC50" w14:textId="77777777" w:rsidR="000365AB" w:rsidRPr="000365AB" w:rsidRDefault="000365AB" w:rsidP="000365AB">
            <w:pPr>
              <w:autoSpaceDE w:val="0"/>
              <w:autoSpaceDN w:val="0"/>
              <w:adjustRightInd w:val="0"/>
              <w:spacing w:after="0" w:line="240" w:lineRule="auto"/>
              <w:rPr>
                <w:rFonts w:ascii="Open Sans" w:hAnsi="Open Sans" w:cs="Open Sans"/>
                <w:color w:val="000000"/>
              </w:rPr>
            </w:pPr>
            <w:r w:rsidRPr="000365AB">
              <w:rPr>
                <w:rFonts w:ascii="Open Sans" w:hAnsi="Open Sans" w:cs="Open Sans"/>
                <w:b/>
                <w:bCs/>
                <w:color w:val="000000"/>
              </w:rPr>
              <w:t xml:space="preserve">Chemical fractionation in magmas: </w:t>
            </w:r>
            <w:r w:rsidRPr="000365AB">
              <w:rPr>
                <w:rFonts w:ascii="Open Sans" w:hAnsi="Open Sans" w:cs="Open Sans"/>
                <w:color w:val="000000"/>
              </w:rPr>
              <w:t xml:space="preserve">use of rare earth elements (REEs) to model silicate melting and crystallization. Determination of distribution coefficients and elemental concentrations in solid and liquid phases; creation of numerical models for fractional crystallization and equilibrium modal melting. </w:t>
            </w:r>
          </w:p>
        </w:tc>
      </w:tr>
      <w:tr w:rsidR="000365AB" w:rsidRPr="000365AB" w14:paraId="5D5893A0" w14:textId="77777777" w:rsidTr="000365AB">
        <w:tblPrEx>
          <w:tblCellMar>
            <w:top w:w="0" w:type="dxa"/>
            <w:bottom w:w="0" w:type="dxa"/>
          </w:tblCellMar>
        </w:tblPrEx>
        <w:trPr>
          <w:trHeight w:val="410"/>
        </w:trPr>
        <w:tc>
          <w:tcPr>
            <w:tcW w:w="1098" w:type="dxa"/>
            <w:tcBorders>
              <w:top w:val="none" w:sz="6" w:space="0" w:color="auto"/>
              <w:bottom w:val="none" w:sz="6" w:space="0" w:color="auto"/>
              <w:right w:val="none" w:sz="6" w:space="0" w:color="auto"/>
            </w:tcBorders>
          </w:tcPr>
          <w:p w14:paraId="6C4B3E77" w14:textId="0A8E211D" w:rsidR="000365AB" w:rsidRPr="000365AB" w:rsidRDefault="000365AB" w:rsidP="000365AB">
            <w:pPr>
              <w:autoSpaceDE w:val="0"/>
              <w:autoSpaceDN w:val="0"/>
              <w:adjustRightInd w:val="0"/>
              <w:spacing w:after="0" w:line="240" w:lineRule="auto"/>
              <w:jc w:val="center"/>
              <w:rPr>
                <w:rFonts w:ascii="Open Sans" w:hAnsi="Open Sans" w:cs="Open Sans"/>
                <w:color w:val="000000"/>
              </w:rPr>
            </w:pPr>
            <w:r w:rsidRPr="000365AB">
              <w:rPr>
                <w:rFonts w:ascii="Open Sans" w:hAnsi="Open Sans" w:cs="Open Sans"/>
                <w:color w:val="000000"/>
              </w:rPr>
              <w:t>10</w:t>
            </w:r>
          </w:p>
        </w:tc>
        <w:tc>
          <w:tcPr>
            <w:tcW w:w="9810" w:type="dxa"/>
            <w:tcBorders>
              <w:top w:val="none" w:sz="6" w:space="0" w:color="auto"/>
              <w:left w:val="none" w:sz="6" w:space="0" w:color="auto"/>
              <w:bottom w:val="none" w:sz="6" w:space="0" w:color="auto"/>
            </w:tcBorders>
          </w:tcPr>
          <w:p w14:paraId="1DA851D8" w14:textId="77777777" w:rsidR="000365AB" w:rsidRPr="000365AB" w:rsidRDefault="000365AB" w:rsidP="000365AB">
            <w:pPr>
              <w:autoSpaceDE w:val="0"/>
              <w:autoSpaceDN w:val="0"/>
              <w:adjustRightInd w:val="0"/>
              <w:spacing w:after="0" w:line="240" w:lineRule="auto"/>
              <w:rPr>
                <w:rFonts w:ascii="Open Sans" w:hAnsi="Open Sans" w:cs="Open Sans"/>
                <w:color w:val="000000"/>
              </w:rPr>
            </w:pPr>
            <w:r w:rsidRPr="000365AB">
              <w:rPr>
                <w:rFonts w:ascii="Open Sans" w:hAnsi="Open Sans" w:cs="Open Sans"/>
                <w:b/>
                <w:bCs/>
                <w:color w:val="000000"/>
              </w:rPr>
              <w:t xml:space="preserve">Aqueous geochemistry and water-rock interactions: </w:t>
            </w:r>
            <w:r w:rsidRPr="000365AB">
              <w:rPr>
                <w:rFonts w:ascii="Open Sans" w:hAnsi="Open Sans" w:cs="Open Sans"/>
                <w:color w:val="000000"/>
              </w:rPr>
              <w:t xml:space="preserve">applications of aqueous geochemistry in passive mine water treatment; sample collection and preparation of sample columns, analysis of water samples using flame atomic absorption spectrometry (FAAS). </w:t>
            </w:r>
          </w:p>
        </w:tc>
      </w:tr>
      <w:tr w:rsidR="000365AB" w:rsidRPr="000365AB" w14:paraId="53D13E4A" w14:textId="77777777" w:rsidTr="000365AB">
        <w:tblPrEx>
          <w:tblCellMar>
            <w:top w:w="0" w:type="dxa"/>
            <w:bottom w:w="0" w:type="dxa"/>
          </w:tblCellMar>
        </w:tblPrEx>
        <w:trPr>
          <w:trHeight w:val="260"/>
        </w:trPr>
        <w:tc>
          <w:tcPr>
            <w:tcW w:w="1098" w:type="dxa"/>
            <w:tcBorders>
              <w:top w:val="none" w:sz="6" w:space="0" w:color="auto"/>
              <w:bottom w:val="none" w:sz="6" w:space="0" w:color="auto"/>
              <w:right w:val="none" w:sz="6" w:space="0" w:color="auto"/>
            </w:tcBorders>
          </w:tcPr>
          <w:p w14:paraId="2A2437E5" w14:textId="099917ED" w:rsidR="000365AB" w:rsidRPr="000365AB" w:rsidRDefault="000365AB" w:rsidP="000365AB">
            <w:pPr>
              <w:autoSpaceDE w:val="0"/>
              <w:autoSpaceDN w:val="0"/>
              <w:adjustRightInd w:val="0"/>
              <w:spacing w:after="0" w:line="240" w:lineRule="auto"/>
              <w:jc w:val="center"/>
              <w:rPr>
                <w:rFonts w:ascii="Open Sans" w:hAnsi="Open Sans" w:cs="Open Sans"/>
                <w:color w:val="000000"/>
              </w:rPr>
            </w:pPr>
            <w:r w:rsidRPr="000365AB">
              <w:rPr>
                <w:rFonts w:ascii="Open Sans" w:hAnsi="Open Sans" w:cs="Open Sans"/>
                <w:color w:val="000000"/>
              </w:rPr>
              <w:t>11</w:t>
            </w:r>
          </w:p>
        </w:tc>
        <w:tc>
          <w:tcPr>
            <w:tcW w:w="9810" w:type="dxa"/>
            <w:tcBorders>
              <w:top w:val="none" w:sz="6" w:space="0" w:color="auto"/>
              <w:left w:val="none" w:sz="6" w:space="0" w:color="auto"/>
              <w:bottom w:val="none" w:sz="6" w:space="0" w:color="auto"/>
            </w:tcBorders>
          </w:tcPr>
          <w:p w14:paraId="4A810CB4" w14:textId="77777777" w:rsidR="000365AB" w:rsidRPr="000365AB" w:rsidRDefault="000365AB" w:rsidP="000365AB">
            <w:pPr>
              <w:autoSpaceDE w:val="0"/>
              <w:autoSpaceDN w:val="0"/>
              <w:adjustRightInd w:val="0"/>
              <w:spacing w:after="0" w:line="240" w:lineRule="auto"/>
              <w:rPr>
                <w:rFonts w:ascii="Open Sans" w:hAnsi="Open Sans" w:cs="Open Sans"/>
                <w:color w:val="000000"/>
              </w:rPr>
            </w:pPr>
            <w:r w:rsidRPr="000365AB">
              <w:rPr>
                <w:rFonts w:ascii="Open Sans" w:hAnsi="Open Sans" w:cs="Open Sans"/>
                <w:b/>
                <w:bCs/>
                <w:color w:val="000000"/>
              </w:rPr>
              <w:t xml:space="preserve">Metal Leaching and Acid Rock Drainage (MLARD): </w:t>
            </w:r>
            <w:r w:rsidRPr="000365AB">
              <w:rPr>
                <w:rFonts w:ascii="Open Sans" w:hAnsi="Open Sans" w:cs="Open Sans"/>
                <w:color w:val="000000"/>
              </w:rPr>
              <w:t xml:space="preserve">characterizing the potential for metal leaching and acid rock drainage in aqueous and/or solid samples. </w:t>
            </w:r>
          </w:p>
        </w:tc>
      </w:tr>
    </w:tbl>
    <w:p w14:paraId="6993A364" w14:textId="77777777" w:rsidR="000365AB" w:rsidRPr="007538F8" w:rsidRDefault="000365AB" w:rsidP="00826588">
      <w:pPr>
        <w:spacing w:after="120" w:line="240" w:lineRule="auto"/>
        <w:jc w:val="both"/>
        <w:rPr>
          <w:rFonts w:ascii="Open Sans" w:eastAsia="Calibri" w:hAnsi="Open Sans" w:cs="Open Sans"/>
          <w:color w:val="000000" w:themeColor="text1"/>
        </w:rPr>
      </w:pPr>
    </w:p>
    <w:sectPr w:rsidR="000365AB" w:rsidRPr="007538F8">
      <w:headerReference w:type="default"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4460A" w14:textId="77777777" w:rsidR="00C932CE" w:rsidRDefault="00C932CE">
      <w:pPr>
        <w:spacing w:after="0" w:line="240" w:lineRule="auto"/>
      </w:pPr>
      <w:r>
        <w:separator/>
      </w:r>
    </w:p>
  </w:endnote>
  <w:endnote w:type="continuationSeparator" w:id="0">
    <w:p w14:paraId="57CD3543" w14:textId="77777777" w:rsidR="00C932CE" w:rsidRDefault="00C93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1DA6DB8" w14:paraId="5990692E" w14:textId="77777777" w:rsidTr="01DA6DB8">
      <w:tc>
        <w:tcPr>
          <w:tcW w:w="3600" w:type="dxa"/>
        </w:tcPr>
        <w:p w14:paraId="5528B5C8" w14:textId="75A3E114" w:rsidR="01DA6DB8" w:rsidRDefault="00000000" w:rsidP="01DA6DB8">
          <w:pPr>
            <w:pStyle w:val="Header"/>
            <w:ind w:left="-115"/>
          </w:pPr>
          <w:hyperlink r:id="rId1">
            <w:r w:rsidR="01DA6DB8" w:rsidRPr="01DA6DB8">
              <w:rPr>
                <w:rStyle w:val="Hyperlink"/>
              </w:rPr>
              <w:t>www.yukonu.ca</w:t>
            </w:r>
          </w:hyperlink>
        </w:p>
      </w:tc>
      <w:tc>
        <w:tcPr>
          <w:tcW w:w="3600" w:type="dxa"/>
        </w:tcPr>
        <w:p w14:paraId="153B7AEF" w14:textId="603B2E1C" w:rsidR="01DA6DB8" w:rsidRDefault="01DA6DB8" w:rsidP="01DA6DB8">
          <w:pPr>
            <w:pStyle w:val="Header"/>
            <w:jc w:val="center"/>
          </w:pPr>
        </w:p>
      </w:tc>
      <w:tc>
        <w:tcPr>
          <w:tcW w:w="3600" w:type="dxa"/>
        </w:tcPr>
        <w:p w14:paraId="52B19685" w14:textId="49D98814" w:rsidR="01DA6DB8" w:rsidRDefault="01DA6DB8" w:rsidP="01DA6DB8">
          <w:pPr>
            <w:pStyle w:val="Header"/>
            <w:ind w:right="-115"/>
            <w:jc w:val="right"/>
          </w:pPr>
          <w:r>
            <w:fldChar w:fldCharType="begin"/>
          </w:r>
          <w:r>
            <w:instrText>PAGE</w:instrText>
          </w:r>
          <w:r>
            <w:fldChar w:fldCharType="separate"/>
          </w:r>
          <w:r w:rsidR="00705343">
            <w:rPr>
              <w:noProof/>
            </w:rPr>
            <w:t>1</w:t>
          </w:r>
          <w:r>
            <w:fldChar w:fldCharType="end"/>
          </w:r>
        </w:p>
      </w:tc>
    </w:tr>
  </w:tbl>
  <w:p w14:paraId="39C011D0" w14:textId="427884B2" w:rsidR="01DA6DB8" w:rsidRDefault="01DA6DB8" w:rsidP="01DA6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AEF3D" w14:textId="77777777" w:rsidR="00C932CE" w:rsidRDefault="00C932CE">
      <w:pPr>
        <w:spacing w:after="0" w:line="240" w:lineRule="auto"/>
      </w:pPr>
      <w:r>
        <w:separator/>
      </w:r>
    </w:p>
  </w:footnote>
  <w:footnote w:type="continuationSeparator" w:id="0">
    <w:p w14:paraId="58EE2F9D" w14:textId="77777777" w:rsidR="00C932CE" w:rsidRDefault="00C93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1DA6DB8" w14:paraId="31D61294" w14:textId="77777777" w:rsidTr="01DA6DB8">
      <w:tc>
        <w:tcPr>
          <w:tcW w:w="3600" w:type="dxa"/>
        </w:tcPr>
        <w:p w14:paraId="0E01DE9D" w14:textId="6EFFA6A2" w:rsidR="01DA6DB8" w:rsidRDefault="01DA6DB8" w:rsidP="01DA6DB8">
          <w:pPr>
            <w:pStyle w:val="Header"/>
            <w:ind w:left="-115"/>
          </w:pPr>
        </w:p>
      </w:tc>
      <w:tc>
        <w:tcPr>
          <w:tcW w:w="3600" w:type="dxa"/>
        </w:tcPr>
        <w:p w14:paraId="7A5CB176" w14:textId="258C1347" w:rsidR="01DA6DB8" w:rsidRDefault="01DA6DB8" w:rsidP="01DA6DB8">
          <w:pPr>
            <w:pStyle w:val="Header"/>
            <w:jc w:val="center"/>
          </w:pPr>
        </w:p>
      </w:tc>
      <w:tc>
        <w:tcPr>
          <w:tcW w:w="3600" w:type="dxa"/>
        </w:tcPr>
        <w:p w14:paraId="70D0CB89" w14:textId="3CF272BC" w:rsidR="01DA6DB8" w:rsidRDefault="01DA6DB8" w:rsidP="01DA6DB8">
          <w:pPr>
            <w:pStyle w:val="Header"/>
            <w:ind w:right="-115"/>
            <w:jc w:val="right"/>
          </w:pPr>
        </w:p>
      </w:tc>
    </w:tr>
  </w:tbl>
  <w:p w14:paraId="12ADB1D7" w14:textId="21E7F4ED" w:rsidR="01DA6DB8" w:rsidRDefault="01DA6DB8" w:rsidP="01DA6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09107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5688B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8A692C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98455C"/>
    <w:multiLevelType w:val="hybridMultilevel"/>
    <w:tmpl w:val="37DA3874"/>
    <w:lvl w:ilvl="0" w:tplc="FFFFFFFF">
      <w:start w:val="1"/>
      <w:numFmt w:val="bullet"/>
      <w:lvlText w:val=""/>
      <w:lvlJc w:val="left"/>
      <w:pPr>
        <w:ind w:left="720" w:hanging="360"/>
      </w:pPr>
      <w:rPr>
        <w:rFonts w:ascii="Symbol" w:hAnsi="Symbol" w:hint="default"/>
      </w:rPr>
    </w:lvl>
    <w:lvl w:ilvl="1" w:tplc="866C7CC6">
      <w:start w:val="1"/>
      <w:numFmt w:val="bullet"/>
      <w:lvlText w:val="o"/>
      <w:lvlJc w:val="left"/>
      <w:pPr>
        <w:ind w:left="1440" w:hanging="360"/>
      </w:pPr>
      <w:rPr>
        <w:rFonts w:ascii="Courier New" w:hAnsi="Courier New" w:hint="default"/>
      </w:rPr>
    </w:lvl>
    <w:lvl w:ilvl="2" w:tplc="2BE2D4DA">
      <w:start w:val="1"/>
      <w:numFmt w:val="bullet"/>
      <w:lvlText w:val=""/>
      <w:lvlJc w:val="left"/>
      <w:pPr>
        <w:ind w:left="2160" w:hanging="360"/>
      </w:pPr>
      <w:rPr>
        <w:rFonts w:ascii="Wingdings" w:hAnsi="Wingdings" w:hint="default"/>
      </w:rPr>
    </w:lvl>
    <w:lvl w:ilvl="3" w:tplc="34006552">
      <w:start w:val="1"/>
      <w:numFmt w:val="bullet"/>
      <w:lvlText w:val=""/>
      <w:lvlJc w:val="left"/>
      <w:pPr>
        <w:ind w:left="2880" w:hanging="360"/>
      </w:pPr>
      <w:rPr>
        <w:rFonts w:ascii="Symbol" w:hAnsi="Symbol" w:hint="default"/>
      </w:rPr>
    </w:lvl>
    <w:lvl w:ilvl="4" w:tplc="738C432C">
      <w:start w:val="1"/>
      <w:numFmt w:val="bullet"/>
      <w:lvlText w:val="o"/>
      <w:lvlJc w:val="left"/>
      <w:pPr>
        <w:ind w:left="3600" w:hanging="360"/>
      </w:pPr>
      <w:rPr>
        <w:rFonts w:ascii="Courier New" w:hAnsi="Courier New" w:hint="default"/>
      </w:rPr>
    </w:lvl>
    <w:lvl w:ilvl="5" w:tplc="79C4DAEE">
      <w:start w:val="1"/>
      <w:numFmt w:val="bullet"/>
      <w:lvlText w:val=""/>
      <w:lvlJc w:val="left"/>
      <w:pPr>
        <w:ind w:left="4320" w:hanging="360"/>
      </w:pPr>
      <w:rPr>
        <w:rFonts w:ascii="Wingdings" w:hAnsi="Wingdings" w:hint="default"/>
      </w:rPr>
    </w:lvl>
    <w:lvl w:ilvl="6" w:tplc="549A22DC">
      <w:start w:val="1"/>
      <w:numFmt w:val="bullet"/>
      <w:lvlText w:val=""/>
      <w:lvlJc w:val="left"/>
      <w:pPr>
        <w:ind w:left="5040" w:hanging="360"/>
      </w:pPr>
      <w:rPr>
        <w:rFonts w:ascii="Symbol" w:hAnsi="Symbol" w:hint="default"/>
      </w:rPr>
    </w:lvl>
    <w:lvl w:ilvl="7" w:tplc="C0E80194">
      <w:start w:val="1"/>
      <w:numFmt w:val="bullet"/>
      <w:lvlText w:val="o"/>
      <w:lvlJc w:val="left"/>
      <w:pPr>
        <w:ind w:left="5760" w:hanging="360"/>
      </w:pPr>
      <w:rPr>
        <w:rFonts w:ascii="Courier New" w:hAnsi="Courier New" w:hint="default"/>
      </w:rPr>
    </w:lvl>
    <w:lvl w:ilvl="8" w:tplc="F3D49FCA">
      <w:start w:val="1"/>
      <w:numFmt w:val="bullet"/>
      <w:lvlText w:val=""/>
      <w:lvlJc w:val="left"/>
      <w:pPr>
        <w:ind w:left="6480" w:hanging="360"/>
      </w:pPr>
      <w:rPr>
        <w:rFonts w:ascii="Wingdings" w:hAnsi="Wingdings" w:hint="default"/>
      </w:rPr>
    </w:lvl>
  </w:abstractNum>
  <w:abstractNum w:abstractNumId="4" w15:restartNumberingAfterBreak="0">
    <w:nsid w:val="1A8634A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D45774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4AB1FA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80016AE"/>
    <w:multiLevelType w:val="hybridMultilevel"/>
    <w:tmpl w:val="48FE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C674F2"/>
    <w:multiLevelType w:val="hybridMultilevel"/>
    <w:tmpl w:val="4CCA474C"/>
    <w:lvl w:ilvl="0" w:tplc="C55E4498">
      <w:start w:val="1"/>
      <w:numFmt w:val="bullet"/>
      <w:lvlText w:val=""/>
      <w:lvlJc w:val="left"/>
      <w:pPr>
        <w:ind w:left="720" w:hanging="360"/>
      </w:pPr>
      <w:rPr>
        <w:rFonts w:ascii="Symbol" w:hAnsi="Symbol" w:hint="default"/>
      </w:rPr>
    </w:lvl>
    <w:lvl w:ilvl="1" w:tplc="F648C578">
      <w:start w:val="1"/>
      <w:numFmt w:val="bullet"/>
      <w:lvlText w:val="o"/>
      <w:lvlJc w:val="left"/>
      <w:pPr>
        <w:ind w:left="1440" w:hanging="360"/>
      </w:pPr>
      <w:rPr>
        <w:rFonts w:ascii="Courier New" w:hAnsi="Courier New" w:hint="default"/>
      </w:rPr>
    </w:lvl>
    <w:lvl w:ilvl="2" w:tplc="26D64E54">
      <w:start w:val="1"/>
      <w:numFmt w:val="bullet"/>
      <w:lvlText w:val=""/>
      <w:lvlJc w:val="left"/>
      <w:pPr>
        <w:ind w:left="2160" w:hanging="360"/>
      </w:pPr>
      <w:rPr>
        <w:rFonts w:ascii="Wingdings" w:hAnsi="Wingdings" w:hint="default"/>
      </w:rPr>
    </w:lvl>
    <w:lvl w:ilvl="3" w:tplc="4B9AA568">
      <w:start w:val="1"/>
      <w:numFmt w:val="bullet"/>
      <w:lvlText w:val=""/>
      <w:lvlJc w:val="left"/>
      <w:pPr>
        <w:ind w:left="2880" w:hanging="360"/>
      </w:pPr>
      <w:rPr>
        <w:rFonts w:ascii="Symbol" w:hAnsi="Symbol" w:hint="default"/>
      </w:rPr>
    </w:lvl>
    <w:lvl w:ilvl="4" w:tplc="155E1DEA">
      <w:start w:val="1"/>
      <w:numFmt w:val="bullet"/>
      <w:lvlText w:val="o"/>
      <w:lvlJc w:val="left"/>
      <w:pPr>
        <w:ind w:left="3600" w:hanging="360"/>
      </w:pPr>
      <w:rPr>
        <w:rFonts w:ascii="Courier New" w:hAnsi="Courier New" w:hint="default"/>
      </w:rPr>
    </w:lvl>
    <w:lvl w:ilvl="5" w:tplc="EE6A1B18">
      <w:start w:val="1"/>
      <w:numFmt w:val="bullet"/>
      <w:lvlText w:val=""/>
      <w:lvlJc w:val="left"/>
      <w:pPr>
        <w:ind w:left="4320" w:hanging="360"/>
      </w:pPr>
      <w:rPr>
        <w:rFonts w:ascii="Wingdings" w:hAnsi="Wingdings" w:hint="default"/>
      </w:rPr>
    </w:lvl>
    <w:lvl w:ilvl="6" w:tplc="C94AD17E">
      <w:start w:val="1"/>
      <w:numFmt w:val="bullet"/>
      <w:lvlText w:val=""/>
      <w:lvlJc w:val="left"/>
      <w:pPr>
        <w:ind w:left="5040" w:hanging="360"/>
      </w:pPr>
      <w:rPr>
        <w:rFonts w:ascii="Symbol" w:hAnsi="Symbol" w:hint="default"/>
      </w:rPr>
    </w:lvl>
    <w:lvl w:ilvl="7" w:tplc="691A8E4E">
      <w:start w:val="1"/>
      <w:numFmt w:val="bullet"/>
      <w:lvlText w:val="o"/>
      <w:lvlJc w:val="left"/>
      <w:pPr>
        <w:ind w:left="5760" w:hanging="360"/>
      </w:pPr>
      <w:rPr>
        <w:rFonts w:ascii="Courier New" w:hAnsi="Courier New" w:hint="default"/>
      </w:rPr>
    </w:lvl>
    <w:lvl w:ilvl="8" w:tplc="BB52A7CC">
      <w:start w:val="1"/>
      <w:numFmt w:val="bullet"/>
      <w:lvlText w:val=""/>
      <w:lvlJc w:val="left"/>
      <w:pPr>
        <w:ind w:left="6480" w:hanging="360"/>
      </w:pPr>
      <w:rPr>
        <w:rFonts w:ascii="Wingdings" w:hAnsi="Wingdings" w:hint="default"/>
      </w:rPr>
    </w:lvl>
  </w:abstractNum>
  <w:abstractNum w:abstractNumId="9" w15:restartNumberingAfterBreak="0">
    <w:nsid w:val="6B544461"/>
    <w:multiLevelType w:val="hybridMultilevel"/>
    <w:tmpl w:val="172C556E"/>
    <w:lvl w:ilvl="0" w:tplc="D3DE70D0">
      <w:start w:val="1"/>
      <w:numFmt w:val="bullet"/>
      <w:lvlText w:val=""/>
      <w:lvlJc w:val="left"/>
      <w:pPr>
        <w:ind w:left="720" w:hanging="360"/>
      </w:pPr>
      <w:rPr>
        <w:rFonts w:ascii="Symbol" w:hAnsi="Symbol" w:hint="default"/>
      </w:rPr>
    </w:lvl>
    <w:lvl w:ilvl="1" w:tplc="346CA046">
      <w:start w:val="1"/>
      <w:numFmt w:val="bullet"/>
      <w:lvlText w:val="o"/>
      <w:lvlJc w:val="left"/>
      <w:pPr>
        <w:ind w:left="1440" w:hanging="360"/>
      </w:pPr>
      <w:rPr>
        <w:rFonts w:ascii="Courier New" w:hAnsi="Courier New" w:hint="default"/>
      </w:rPr>
    </w:lvl>
    <w:lvl w:ilvl="2" w:tplc="2FE4B018">
      <w:start w:val="1"/>
      <w:numFmt w:val="bullet"/>
      <w:lvlText w:val=""/>
      <w:lvlJc w:val="left"/>
      <w:pPr>
        <w:ind w:left="2160" w:hanging="360"/>
      </w:pPr>
      <w:rPr>
        <w:rFonts w:ascii="Wingdings" w:hAnsi="Wingdings" w:hint="default"/>
      </w:rPr>
    </w:lvl>
    <w:lvl w:ilvl="3" w:tplc="FBA20A4E">
      <w:start w:val="1"/>
      <w:numFmt w:val="bullet"/>
      <w:lvlText w:val=""/>
      <w:lvlJc w:val="left"/>
      <w:pPr>
        <w:ind w:left="2880" w:hanging="360"/>
      </w:pPr>
      <w:rPr>
        <w:rFonts w:ascii="Symbol" w:hAnsi="Symbol" w:hint="default"/>
      </w:rPr>
    </w:lvl>
    <w:lvl w:ilvl="4" w:tplc="A2BC79E0">
      <w:start w:val="1"/>
      <w:numFmt w:val="bullet"/>
      <w:lvlText w:val="o"/>
      <w:lvlJc w:val="left"/>
      <w:pPr>
        <w:ind w:left="3600" w:hanging="360"/>
      </w:pPr>
      <w:rPr>
        <w:rFonts w:ascii="Courier New" w:hAnsi="Courier New" w:hint="default"/>
      </w:rPr>
    </w:lvl>
    <w:lvl w:ilvl="5" w:tplc="0B7838A6">
      <w:start w:val="1"/>
      <w:numFmt w:val="bullet"/>
      <w:lvlText w:val=""/>
      <w:lvlJc w:val="left"/>
      <w:pPr>
        <w:ind w:left="4320" w:hanging="360"/>
      </w:pPr>
      <w:rPr>
        <w:rFonts w:ascii="Wingdings" w:hAnsi="Wingdings" w:hint="default"/>
      </w:rPr>
    </w:lvl>
    <w:lvl w:ilvl="6" w:tplc="C642772E">
      <w:start w:val="1"/>
      <w:numFmt w:val="bullet"/>
      <w:lvlText w:val=""/>
      <w:lvlJc w:val="left"/>
      <w:pPr>
        <w:ind w:left="5040" w:hanging="360"/>
      </w:pPr>
      <w:rPr>
        <w:rFonts w:ascii="Symbol" w:hAnsi="Symbol" w:hint="default"/>
      </w:rPr>
    </w:lvl>
    <w:lvl w:ilvl="7" w:tplc="B93E3208">
      <w:start w:val="1"/>
      <w:numFmt w:val="bullet"/>
      <w:lvlText w:val="o"/>
      <w:lvlJc w:val="left"/>
      <w:pPr>
        <w:ind w:left="5760" w:hanging="360"/>
      </w:pPr>
      <w:rPr>
        <w:rFonts w:ascii="Courier New" w:hAnsi="Courier New" w:hint="default"/>
      </w:rPr>
    </w:lvl>
    <w:lvl w:ilvl="8" w:tplc="D20CD81A">
      <w:start w:val="1"/>
      <w:numFmt w:val="bullet"/>
      <w:lvlText w:val=""/>
      <w:lvlJc w:val="left"/>
      <w:pPr>
        <w:ind w:left="6480" w:hanging="360"/>
      </w:pPr>
      <w:rPr>
        <w:rFonts w:ascii="Wingdings" w:hAnsi="Wingdings" w:hint="default"/>
      </w:rPr>
    </w:lvl>
  </w:abstractNum>
  <w:num w:numId="1" w16cid:durableId="48379009">
    <w:abstractNumId w:val="3"/>
  </w:num>
  <w:num w:numId="2" w16cid:durableId="706955571">
    <w:abstractNumId w:val="8"/>
  </w:num>
  <w:num w:numId="3" w16cid:durableId="765350977">
    <w:abstractNumId w:val="9"/>
  </w:num>
  <w:num w:numId="4" w16cid:durableId="1318337831">
    <w:abstractNumId w:val="4"/>
  </w:num>
  <w:num w:numId="5" w16cid:durableId="904681119">
    <w:abstractNumId w:val="5"/>
  </w:num>
  <w:num w:numId="6" w16cid:durableId="1244951251">
    <w:abstractNumId w:val="1"/>
  </w:num>
  <w:num w:numId="7" w16cid:durableId="1593078303">
    <w:abstractNumId w:val="0"/>
  </w:num>
  <w:num w:numId="8" w16cid:durableId="1518881400">
    <w:abstractNumId w:val="6"/>
  </w:num>
  <w:num w:numId="9" w16cid:durableId="386228571">
    <w:abstractNumId w:val="2"/>
  </w:num>
  <w:num w:numId="10" w16cid:durableId="998834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DB3EA5"/>
    <w:rsid w:val="000365AB"/>
    <w:rsid w:val="000B6007"/>
    <w:rsid w:val="001626FD"/>
    <w:rsid w:val="002E1642"/>
    <w:rsid w:val="00392473"/>
    <w:rsid w:val="003F2D59"/>
    <w:rsid w:val="0047460C"/>
    <w:rsid w:val="004D0603"/>
    <w:rsid w:val="00560C7F"/>
    <w:rsid w:val="006375A8"/>
    <w:rsid w:val="00701402"/>
    <w:rsid w:val="00705343"/>
    <w:rsid w:val="007538F8"/>
    <w:rsid w:val="00766562"/>
    <w:rsid w:val="00826588"/>
    <w:rsid w:val="008472D2"/>
    <w:rsid w:val="00855F7F"/>
    <w:rsid w:val="008E7919"/>
    <w:rsid w:val="00910FBD"/>
    <w:rsid w:val="00AD337D"/>
    <w:rsid w:val="00C932CE"/>
    <w:rsid w:val="00DA6F53"/>
    <w:rsid w:val="00E150B0"/>
    <w:rsid w:val="00F17FD8"/>
    <w:rsid w:val="01495057"/>
    <w:rsid w:val="018A15E1"/>
    <w:rsid w:val="01B87C78"/>
    <w:rsid w:val="01DA6DB8"/>
    <w:rsid w:val="030DC8A6"/>
    <w:rsid w:val="03DD5FA0"/>
    <w:rsid w:val="03E4DCA8"/>
    <w:rsid w:val="043AD105"/>
    <w:rsid w:val="04D12B19"/>
    <w:rsid w:val="04E401FE"/>
    <w:rsid w:val="052DFE25"/>
    <w:rsid w:val="0571B197"/>
    <w:rsid w:val="061D9C35"/>
    <w:rsid w:val="0638DA85"/>
    <w:rsid w:val="0717580C"/>
    <w:rsid w:val="0898C1E2"/>
    <w:rsid w:val="089B0BDF"/>
    <w:rsid w:val="09F1EDA1"/>
    <w:rsid w:val="0A38AAF8"/>
    <w:rsid w:val="0A43F604"/>
    <w:rsid w:val="0A878783"/>
    <w:rsid w:val="0A9B12FA"/>
    <w:rsid w:val="0B11F5DB"/>
    <w:rsid w:val="0B57DDE3"/>
    <w:rsid w:val="0BC3E8ED"/>
    <w:rsid w:val="0BF03A37"/>
    <w:rsid w:val="0C2B2E6C"/>
    <w:rsid w:val="0DCA0B9D"/>
    <w:rsid w:val="0E43ED91"/>
    <w:rsid w:val="0EE7AD34"/>
    <w:rsid w:val="0FC50201"/>
    <w:rsid w:val="0FDE2A5E"/>
    <w:rsid w:val="10EE1DE7"/>
    <w:rsid w:val="11285ED9"/>
    <w:rsid w:val="11817001"/>
    <w:rsid w:val="11DD018E"/>
    <w:rsid w:val="12370C42"/>
    <w:rsid w:val="12F0C279"/>
    <w:rsid w:val="131E59BB"/>
    <w:rsid w:val="132C3946"/>
    <w:rsid w:val="1355555E"/>
    <w:rsid w:val="13845BF4"/>
    <w:rsid w:val="14056DF5"/>
    <w:rsid w:val="14E7C766"/>
    <w:rsid w:val="151EE815"/>
    <w:rsid w:val="16057645"/>
    <w:rsid w:val="16218DA0"/>
    <w:rsid w:val="1634D065"/>
    <w:rsid w:val="1644B6E7"/>
    <w:rsid w:val="16789864"/>
    <w:rsid w:val="1809223B"/>
    <w:rsid w:val="180B6032"/>
    <w:rsid w:val="183C75C3"/>
    <w:rsid w:val="185B776E"/>
    <w:rsid w:val="18C57D58"/>
    <w:rsid w:val="18D25779"/>
    <w:rsid w:val="18DD780B"/>
    <w:rsid w:val="19309A13"/>
    <w:rsid w:val="199B7ACA"/>
    <w:rsid w:val="1A2C6A27"/>
    <w:rsid w:val="1A4CAE4B"/>
    <w:rsid w:val="1A6E27DA"/>
    <w:rsid w:val="1A794DA1"/>
    <w:rsid w:val="1A875037"/>
    <w:rsid w:val="1A895F54"/>
    <w:rsid w:val="1B0A34BA"/>
    <w:rsid w:val="1C2B8C9B"/>
    <w:rsid w:val="1D229954"/>
    <w:rsid w:val="1D6185CB"/>
    <w:rsid w:val="1DE93C97"/>
    <w:rsid w:val="1E26B9ED"/>
    <w:rsid w:val="1FC28A4E"/>
    <w:rsid w:val="20236DF5"/>
    <w:rsid w:val="207F4075"/>
    <w:rsid w:val="20A18EE5"/>
    <w:rsid w:val="20D6CAB1"/>
    <w:rsid w:val="20DA130C"/>
    <w:rsid w:val="2186847E"/>
    <w:rsid w:val="226B9D85"/>
    <w:rsid w:val="22FB1B86"/>
    <w:rsid w:val="2348D4F2"/>
    <w:rsid w:val="239A5A0B"/>
    <w:rsid w:val="24150A20"/>
    <w:rsid w:val="244FD2FB"/>
    <w:rsid w:val="2463F7E6"/>
    <w:rsid w:val="24A38B85"/>
    <w:rsid w:val="2521D322"/>
    <w:rsid w:val="25731E20"/>
    <w:rsid w:val="2576B775"/>
    <w:rsid w:val="25911377"/>
    <w:rsid w:val="25AA4867"/>
    <w:rsid w:val="25D6F9A5"/>
    <w:rsid w:val="25EDDC36"/>
    <w:rsid w:val="25F32ED2"/>
    <w:rsid w:val="26274A2B"/>
    <w:rsid w:val="263AE0EA"/>
    <w:rsid w:val="273B48CD"/>
    <w:rsid w:val="278EFF33"/>
    <w:rsid w:val="27EE2536"/>
    <w:rsid w:val="27FCA5D6"/>
    <w:rsid w:val="281E3A36"/>
    <w:rsid w:val="2966397B"/>
    <w:rsid w:val="297A567D"/>
    <w:rsid w:val="2A97EEF3"/>
    <w:rsid w:val="2AD981E5"/>
    <w:rsid w:val="2B886986"/>
    <w:rsid w:val="2B8F923E"/>
    <w:rsid w:val="2B99130A"/>
    <w:rsid w:val="2BB3E440"/>
    <w:rsid w:val="2BC6CE30"/>
    <w:rsid w:val="2BDB0453"/>
    <w:rsid w:val="2C487D2E"/>
    <w:rsid w:val="2C4947F9"/>
    <w:rsid w:val="2D2813F4"/>
    <w:rsid w:val="2DA5F718"/>
    <w:rsid w:val="2DBE7D17"/>
    <w:rsid w:val="2DC3561B"/>
    <w:rsid w:val="2ED43911"/>
    <w:rsid w:val="2EEC69B2"/>
    <w:rsid w:val="2F5A4D78"/>
    <w:rsid w:val="2F6326CE"/>
    <w:rsid w:val="2F80E8BB"/>
    <w:rsid w:val="31342EF4"/>
    <w:rsid w:val="33301114"/>
    <w:rsid w:val="33EED89F"/>
    <w:rsid w:val="3496FC6D"/>
    <w:rsid w:val="349E5B40"/>
    <w:rsid w:val="34C7D9F3"/>
    <w:rsid w:val="34DFDFFE"/>
    <w:rsid w:val="3752455C"/>
    <w:rsid w:val="378C5092"/>
    <w:rsid w:val="3803019D"/>
    <w:rsid w:val="38EF7FC8"/>
    <w:rsid w:val="392820F3"/>
    <w:rsid w:val="393104F7"/>
    <w:rsid w:val="3A3EB5C9"/>
    <w:rsid w:val="3A402BDE"/>
    <w:rsid w:val="3ACCD558"/>
    <w:rsid w:val="3B950B0A"/>
    <w:rsid w:val="3C1E664B"/>
    <w:rsid w:val="3C9C4BA6"/>
    <w:rsid w:val="3CE81AD0"/>
    <w:rsid w:val="3D29FDF2"/>
    <w:rsid w:val="3D49F44D"/>
    <w:rsid w:val="3D72A830"/>
    <w:rsid w:val="3DCBA250"/>
    <w:rsid w:val="3E5A5DDC"/>
    <w:rsid w:val="3EC46A0D"/>
    <w:rsid w:val="40603A6E"/>
    <w:rsid w:val="40B6B868"/>
    <w:rsid w:val="40B90ED2"/>
    <w:rsid w:val="40EB9961"/>
    <w:rsid w:val="41192D24"/>
    <w:rsid w:val="41278A17"/>
    <w:rsid w:val="4135807F"/>
    <w:rsid w:val="41776F4C"/>
    <w:rsid w:val="41992E76"/>
    <w:rsid w:val="41D2E973"/>
    <w:rsid w:val="41E468E0"/>
    <w:rsid w:val="41EC390E"/>
    <w:rsid w:val="424E55F9"/>
    <w:rsid w:val="429650C8"/>
    <w:rsid w:val="432B1913"/>
    <w:rsid w:val="43444170"/>
    <w:rsid w:val="43A63B0D"/>
    <w:rsid w:val="43C70A36"/>
    <w:rsid w:val="440FC885"/>
    <w:rsid w:val="441CF306"/>
    <w:rsid w:val="4421963D"/>
    <w:rsid w:val="4453B8BC"/>
    <w:rsid w:val="44967B17"/>
    <w:rsid w:val="454DC05D"/>
    <w:rsid w:val="45CDF18A"/>
    <w:rsid w:val="462C45E7"/>
    <w:rsid w:val="46C60C46"/>
    <w:rsid w:val="46CEDE43"/>
    <w:rsid w:val="46D4D792"/>
    <w:rsid w:val="485B5354"/>
    <w:rsid w:val="48A8A1F0"/>
    <w:rsid w:val="48B737B8"/>
    <w:rsid w:val="491C4485"/>
    <w:rsid w:val="4A0270BA"/>
    <w:rsid w:val="4A8365A0"/>
    <w:rsid w:val="4AE1ACB2"/>
    <w:rsid w:val="4B2917CA"/>
    <w:rsid w:val="4B8C7CA7"/>
    <w:rsid w:val="4C92DC4B"/>
    <w:rsid w:val="4D284D08"/>
    <w:rsid w:val="4D78A20F"/>
    <w:rsid w:val="4DE74D56"/>
    <w:rsid w:val="4DE85E7B"/>
    <w:rsid w:val="4E237CBD"/>
    <w:rsid w:val="4E500C01"/>
    <w:rsid w:val="4E858A06"/>
    <w:rsid w:val="4EE27A62"/>
    <w:rsid w:val="4EFEA8C7"/>
    <w:rsid w:val="4FF526CF"/>
    <w:rsid w:val="505FEDCA"/>
    <w:rsid w:val="506573CB"/>
    <w:rsid w:val="50679C9B"/>
    <w:rsid w:val="5079C2CF"/>
    <w:rsid w:val="5139E742"/>
    <w:rsid w:val="51BB7934"/>
    <w:rsid w:val="51BD5ADC"/>
    <w:rsid w:val="51C7BAEC"/>
    <w:rsid w:val="524EF0E4"/>
    <w:rsid w:val="5251B519"/>
    <w:rsid w:val="52E945AA"/>
    <w:rsid w:val="545936A8"/>
    <w:rsid w:val="546FBC8D"/>
    <w:rsid w:val="5489FDD6"/>
    <w:rsid w:val="549DA5F5"/>
    <w:rsid w:val="54A8609A"/>
    <w:rsid w:val="551F69DF"/>
    <w:rsid w:val="557C5698"/>
    <w:rsid w:val="5632C9CE"/>
    <w:rsid w:val="569976D5"/>
    <w:rsid w:val="56BF2DC6"/>
    <w:rsid w:val="57B04153"/>
    <w:rsid w:val="57DA4F1E"/>
    <w:rsid w:val="584A823F"/>
    <w:rsid w:val="589C16C0"/>
    <w:rsid w:val="594ECB89"/>
    <w:rsid w:val="59761F7F"/>
    <w:rsid w:val="59FCE188"/>
    <w:rsid w:val="5A6A88FF"/>
    <w:rsid w:val="5ADEFE11"/>
    <w:rsid w:val="5B063AF1"/>
    <w:rsid w:val="5B736856"/>
    <w:rsid w:val="5B97DD09"/>
    <w:rsid w:val="5C83B276"/>
    <w:rsid w:val="5C97CF5E"/>
    <w:rsid w:val="5DDD23B3"/>
    <w:rsid w:val="5E3BB190"/>
    <w:rsid w:val="5E69704A"/>
    <w:rsid w:val="5E792FB7"/>
    <w:rsid w:val="5EFCCF91"/>
    <w:rsid w:val="5F6C9096"/>
    <w:rsid w:val="5FB00358"/>
    <w:rsid w:val="6154567A"/>
    <w:rsid w:val="61BE6200"/>
    <w:rsid w:val="61E4C48A"/>
    <w:rsid w:val="620B6982"/>
    <w:rsid w:val="623AC47A"/>
    <w:rsid w:val="623FB8D6"/>
    <w:rsid w:val="627EBF24"/>
    <w:rsid w:val="62A0D299"/>
    <w:rsid w:val="62FBCADE"/>
    <w:rsid w:val="63633B88"/>
    <w:rsid w:val="63CBAAA8"/>
    <w:rsid w:val="643BE101"/>
    <w:rsid w:val="64540283"/>
    <w:rsid w:val="64563654"/>
    <w:rsid w:val="653A92C5"/>
    <w:rsid w:val="65512B58"/>
    <w:rsid w:val="655FD239"/>
    <w:rsid w:val="6621655E"/>
    <w:rsid w:val="666A39F7"/>
    <w:rsid w:val="67033A65"/>
    <w:rsid w:val="671E621B"/>
    <w:rsid w:val="67BE6D5E"/>
    <w:rsid w:val="6804C462"/>
    <w:rsid w:val="68AE4A2E"/>
    <w:rsid w:val="690F7C46"/>
    <w:rsid w:val="6A89A1F9"/>
    <w:rsid w:val="6AAC9559"/>
    <w:rsid w:val="6B679DC7"/>
    <w:rsid w:val="6BD8A075"/>
    <w:rsid w:val="6BDB3EA5"/>
    <w:rsid w:val="6BF9BD5B"/>
    <w:rsid w:val="6C184BA2"/>
    <w:rsid w:val="6C3EF686"/>
    <w:rsid w:val="6D533042"/>
    <w:rsid w:val="6DAE61AF"/>
    <w:rsid w:val="6E35CDDF"/>
    <w:rsid w:val="6E47A4D4"/>
    <w:rsid w:val="6E7D148E"/>
    <w:rsid w:val="6F104137"/>
    <w:rsid w:val="6F549024"/>
    <w:rsid w:val="7011CD4C"/>
    <w:rsid w:val="719EBA48"/>
    <w:rsid w:val="72EFB2F9"/>
    <w:rsid w:val="739EA63B"/>
    <w:rsid w:val="7471861C"/>
    <w:rsid w:val="74D59165"/>
    <w:rsid w:val="751A686B"/>
    <w:rsid w:val="75D8A2EC"/>
    <w:rsid w:val="75DF081B"/>
    <w:rsid w:val="76598B7A"/>
    <w:rsid w:val="766A61AA"/>
    <w:rsid w:val="76B1736F"/>
    <w:rsid w:val="76F946BB"/>
    <w:rsid w:val="77440ED6"/>
    <w:rsid w:val="77736C22"/>
    <w:rsid w:val="7849FA28"/>
    <w:rsid w:val="7985774D"/>
    <w:rsid w:val="79F19364"/>
    <w:rsid w:val="7B2CFC9D"/>
    <w:rsid w:val="7B3D7CDB"/>
    <w:rsid w:val="7BB96BEE"/>
    <w:rsid w:val="7C51D358"/>
    <w:rsid w:val="7C8596D6"/>
    <w:rsid w:val="7CC3C497"/>
    <w:rsid w:val="7CC79879"/>
    <w:rsid w:val="7D2C92F5"/>
    <w:rsid w:val="7D4C1EDE"/>
    <w:rsid w:val="7E0EAD1F"/>
    <w:rsid w:val="7E53DF2F"/>
    <w:rsid w:val="7ED443A0"/>
    <w:rsid w:val="7F180B9F"/>
    <w:rsid w:val="7F3FB49C"/>
    <w:rsid w:val="7FAA7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B3EA5"/>
  <w15:chartTrackingRefBased/>
  <w15:docId w15:val="{0B54ED69-9649-41F1-B993-7F42E2FAA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75D8A2EC"/>
  </w:style>
  <w:style w:type="character" w:customStyle="1" w:styleId="eop">
    <w:name w:val="eop"/>
    <w:basedOn w:val="DefaultParagraphFont"/>
    <w:rsid w:val="75D8A2EC"/>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B600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B6007"/>
    <w:rPr>
      <w:rFonts w:ascii="Times New Roman" w:hAnsi="Times New Roman" w:cs="Times New Roman"/>
      <w:sz w:val="18"/>
      <w:szCs w:val="18"/>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1626FD"/>
    <w:rPr>
      <w:color w:val="605E5C"/>
      <w:shd w:val="clear" w:color="auto" w:fill="E1DFDD"/>
    </w:rPr>
  </w:style>
  <w:style w:type="paragraph" w:customStyle="1" w:styleId="Default">
    <w:name w:val="Default"/>
    <w:rsid w:val="008472D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719368">
      <w:bodyDiv w:val="1"/>
      <w:marLeft w:val="0"/>
      <w:marRight w:val="0"/>
      <w:marTop w:val="0"/>
      <w:marBottom w:val="0"/>
      <w:divBdr>
        <w:top w:val="none" w:sz="0" w:space="0" w:color="auto"/>
        <w:left w:val="none" w:sz="0" w:space="0" w:color="auto"/>
        <w:bottom w:val="none" w:sz="0" w:space="0" w:color="auto"/>
        <w:right w:val="none" w:sz="0" w:space="0" w:color="auto"/>
      </w:divBdr>
      <w:divsChild>
        <w:div w:id="1291282301">
          <w:marLeft w:val="0"/>
          <w:marRight w:val="0"/>
          <w:marTop w:val="0"/>
          <w:marBottom w:val="0"/>
          <w:divBdr>
            <w:top w:val="none" w:sz="0" w:space="0" w:color="auto"/>
            <w:left w:val="none" w:sz="0" w:space="0" w:color="auto"/>
            <w:bottom w:val="none" w:sz="0" w:space="0" w:color="auto"/>
            <w:right w:val="none" w:sz="0" w:space="0" w:color="auto"/>
          </w:divBdr>
        </w:div>
        <w:div w:id="1104570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ukonu.ca/admissions/transfer-credit&#16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cubley@yukonu.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ukonu.ca/student-life/learning-matters/accessibility-servic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yukon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c7da281-a605-4712-b8f4-62fe026b45ba">CAZ6K6P636TC-1732640225-3540</_dlc_DocId>
    <_dlc_DocIdUrl xmlns="2c7da281-a605-4712-b8f4-62fe026b45ba">
      <Url>https://yukoncollege.sharepoint.com/sites/yc/offices/asm/_layouts/15/DocIdRedir.aspx?ID=CAZ6K6P636TC-1732640225-3540</Url>
      <Description>CAZ6K6P636TC-1732640225-3540</Description>
    </_dlc_DocIdUrl>
    <SharedWithUsers xmlns="2c7da281-a605-4712-b8f4-62fe026b45ba">
      <UserInfo>
        <DisplayName>Ernest Prokopchuk</DisplayName>
        <AccountId>322</AccountId>
        <AccountType/>
      </UserInfo>
      <UserInfo>
        <DisplayName>Andrew Richardson</DisplayName>
        <AccountId>259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4B20259DA0164FB709B60F0B901E93" ma:contentTypeVersion="7" ma:contentTypeDescription="Create a new document." ma:contentTypeScope="" ma:versionID="4dccd917ac94a80ecac7b0c764152568">
  <xsd:schema xmlns:xsd="http://www.w3.org/2001/XMLSchema" xmlns:xs="http://www.w3.org/2001/XMLSchema" xmlns:p="http://schemas.microsoft.com/office/2006/metadata/properties" xmlns:ns2="bef74bb6-8312-45fa-8e74-6365e5b30747" xmlns:ns3="2c7da281-a605-4712-b8f4-62fe026b45ba" targetNamespace="http://schemas.microsoft.com/office/2006/metadata/properties" ma:root="true" ma:fieldsID="f4c56293ee6cc1c10b16023c911267a9" ns2:_="" ns3:_="">
    <xsd:import namespace="bef74bb6-8312-45fa-8e74-6365e5b30747"/>
    <xsd:import namespace="2c7da281-a605-4712-b8f4-62fe026b45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_dlc_DocId" minOccurs="0"/>
                <xsd:element ref="ns3:_dlc_DocIdUrl" minOccurs="0"/>
                <xsd:element ref="ns3:_dlc_DocIdPersistI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74bb6-8312-45fa-8e74-6365e5b30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7da281-a605-4712-b8f4-62fe026b45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2EBAEE-30C6-4A9F-9770-6CAD1C69884E}">
  <ds:schemaRefs>
    <ds:schemaRef ds:uri="http://schemas.microsoft.com/sharepoint/events"/>
  </ds:schemaRefs>
</ds:datastoreItem>
</file>

<file path=customXml/itemProps2.xml><?xml version="1.0" encoding="utf-8"?>
<ds:datastoreItem xmlns:ds="http://schemas.openxmlformats.org/officeDocument/2006/customXml" ds:itemID="{D71E108C-ECE7-4D95-A3C8-7FFA2FF6682A}">
  <ds:schemaRefs>
    <ds:schemaRef ds:uri="http://schemas.microsoft.com/sharepoint/v3/contenttype/forms"/>
  </ds:schemaRefs>
</ds:datastoreItem>
</file>

<file path=customXml/itemProps3.xml><?xml version="1.0" encoding="utf-8"?>
<ds:datastoreItem xmlns:ds="http://schemas.openxmlformats.org/officeDocument/2006/customXml" ds:itemID="{9B382F7E-82F1-47D8-A942-CD6DAD509FD1}">
  <ds:schemaRefs>
    <ds:schemaRef ds:uri="http://schemas.microsoft.com/office/2006/metadata/properties"/>
    <ds:schemaRef ds:uri="http://schemas.microsoft.com/office/infopath/2007/PartnerControls"/>
    <ds:schemaRef ds:uri="2c7da281-a605-4712-b8f4-62fe026b45ba"/>
    <ds:schemaRef ds:uri="8c052f08-ea93-4821-9752-a93932fc7741"/>
  </ds:schemaRefs>
</ds:datastoreItem>
</file>

<file path=customXml/itemProps4.xml><?xml version="1.0" encoding="utf-8"?>
<ds:datastoreItem xmlns:ds="http://schemas.openxmlformats.org/officeDocument/2006/customXml" ds:itemID="{6BBC6736-A9E4-450C-846B-E779347DFC3F}"/>
</file>

<file path=docProps/app.xml><?xml version="1.0" encoding="utf-8"?>
<Properties xmlns="http://schemas.openxmlformats.org/officeDocument/2006/extended-properties" xmlns:vt="http://schemas.openxmlformats.org/officeDocument/2006/docPropsVTypes">
  <Template>Normal</Template>
  <TotalTime>29</TotalTime>
  <Pages>7</Pages>
  <Words>1940</Words>
  <Characters>11060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Wildeman</dc:creator>
  <cp:keywords/>
  <dc:description/>
  <cp:lastModifiedBy>Joel Cubley</cp:lastModifiedBy>
  <cp:revision>3</cp:revision>
  <dcterms:created xsi:type="dcterms:W3CDTF">2024-01-02T03:34:00Z</dcterms:created>
  <dcterms:modified xsi:type="dcterms:W3CDTF">2024-01-02T04:03:00Z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0x010100D34B20259DA0164FB709B60F0B901E93</vt:lpwstr>
  </property>
  <property fmtid="{D5CDD505-2E9C-101B-9397-08002B2CF9AE}" pid="3" name="_dlc_DocIdItemGuid">
    <vt:lpwstr>613cff73-4b8a-41c5-92cf-206c689b62d3</vt:lpwstr>
  </property>
</Properties>
</file>